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8427A1" w14:textId="573AE7A4" w:rsidR="00B119AF" w:rsidRPr="000A3D83" w:rsidRDefault="00B119AF" w:rsidP="00B119AF">
      <w:pPr>
        <w:pStyle w:val="Title"/>
        <w:rPr>
          <w:rFonts w:ascii="Garamond" w:hAnsi="Garamond" w:cs="EB Garamond"/>
        </w:rPr>
      </w:pPr>
      <w:r w:rsidRPr="000A3D83">
        <w:rPr>
          <w:rFonts w:ascii="Garamond" w:hAnsi="Garamond" w:cs="EB Garamond"/>
        </w:rPr>
        <w:t>Sociology 2</w:t>
      </w:r>
      <w:r>
        <w:rPr>
          <w:rFonts w:ascii="Garamond" w:hAnsi="Garamond" w:cs="EB Garamond"/>
        </w:rPr>
        <w:t>31</w:t>
      </w:r>
    </w:p>
    <w:p w14:paraId="4AF13A3B" w14:textId="46CEFD3B" w:rsidR="00B119AF" w:rsidRPr="000A3D83" w:rsidRDefault="00B119AF" w:rsidP="00B119AF">
      <w:pPr>
        <w:pStyle w:val="Subtitle"/>
        <w:rPr>
          <w:rFonts w:ascii="Garamond" w:hAnsi="Garamond" w:cs="EB Garamond"/>
        </w:rPr>
      </w:pPr>
      <w:r>
        <w:rPr>
          <w:rFonts w:ascii="Garamond" w:hAnsi="Garamond" w:cs="EB Garamond"/>
        </w:rPr>
        <w:t>IMMIGRATION, ASSIMILATION, AND CULTURAL CHANGE</w:t>
      </w:r>
    </w:p>
    <w:p w14:paraId="76AFE1F2" w14:textId="77777777" w:rsidR="005F334A" w:rsidRDefault="005F334A" w:rsidP="00B119AF">
      <w:pPr>
        <w:pStyle w:val="Heading2"/>
        <w:rPr>
          <w:rFonts w:ascii="Garamond" w:hAnsi="Garamond" w:cs="EB Garamond"/>
        </w:rPr>
      </w:pPr>
    </w:p>
    <w:p w14:paraId="1BE2930F" w14:textId="6EACCFE1" w:rsidR="00B119AF" w:rsidRPr="00B119AF" w:rsidRDefault="00B119AF" w:rsidP="00B119AF">
      <w:pPr>
        <w:pStyle w:val="Heading2"/>
        <w:rPr>
          <w:rFonts w:ascii="Garamond" w:hAnsi="Garamond" w:cs="EB Garamond"/>
        </w:rPr>
      </w:pPr>
      <w:r w:rsidRPr="00B119AF">
        <w:rPr>
          <w:rFonts w:ascii="Garamond" w:hAnsi="Garamond" w:cs="EB Garamond"/>
        </w:rPr>
        <w:t>Key Information</w:t>
      </w:r>
    </w:p>
    <w:p w14:paraId="5E305D12" w14:textId="77777777" w:rsidR="00B119AF" w:rsidRPr="00B119AF" w:rsidRDefault="00B119AF" w:rsidP="00B119AF">
      <w:pPr>
        <w:pStyle w:val="Heading1"/>
        <w:rPr>
          <w:rFonts w:ascii="Garamond" w:hAnsi="Garamond" w:cs="EB Garamond"/>
          <w:sz w:val="24"/>
          <w:szCs w:val="24"/>
        </w:rPr>
      </w:pPr>
      <w:r w:rsidRPr="00B119AF">
        <w:rPr>
          <w:rFonts w:ascii="Garamond" w:hAnsi="Garamond" w:cs="EB Garamond"/>
          <w:sz w:val="24"/>
          <w:szCs w:val="24"/>
        </w:rPr>
        <w:t>Instructor</w:t>
      </w:r>
    </w:p>
    <w:p w14:paraId="006F6558" w14:textId="77777777" w:rsidR="00B119AF" w:rsidRPr="00B119AF" w:rsidRDefault="00B119AF" w:rsidP="00B119AF">
      <w:pPr>
        <w:pStyle w:val="BodyText"/>
        <w:rPr>
          <w:rFonts w:ascii="Garamond" w:hAnsi="Garamond" w:cs="EB Garamond"/>
        </w:rPr>
      </w:pPr>
      <w:r w:rsidRPr="00B119AF">
        <w:rPr>
          <w:rFonts w:ascii="Garamond" w:hAnsi="Garamond" w:cs="EB Garamond"/>
        </w:rPr>
        <w:t>Sakeef M. Karim</w:t>
      </w:r>
    </w:p>
    <w:p w14:paraId="4C8F805D" w14:textId="77777777" w:rsidR="00B119AF" w:rsidRPr="00B119AF" w:rsidRDefault="00B119AF" w:rsidP="00B119AF">
      <w:pPr>
        <w:pStyle w:val="Heading1"/>
        <w:rPr>
          <w:rFonts w:ascii="Garamond" w:hAnsi="Garamond" w:cs="EB Garamond"/>
          <w:sz w:val="24"/>
          <w:szCs w:val="24"/>
        </w:rPr>
      </w:pPr>
      <w:r w:rsidRPr="00B119AF">
        <w:rPr>
          <w:rFonts w:ascii="Garamond" w:hAnsi="Garamond" w:cs="EB Garamond"/>
          <w:sz w:val="24"/>
          <w:szCs w:val="24"/>
        </w:rPr>
        <w:t>Location</w:t>
      </w:r>
    </w:p>
    <w:p w14:paraId="383C4DBF" w14:textId="37579785" w:rsidR="00B119AF" w:rsidRPr="00B119AF" w:rsidRDefault="00F968C8" w:rsidP="00B119AF">
      <w:pPr>
        <w:pStyle w:val="BodyText"/>
        <w:rPr>
          <w:rFonts w:ascii="Garamond" w:hAnsi="Garamond" w:cs="EB Garamond"/>
        </w:rPr>
      </w:pPr>
      <w:r>
        <w:rPr>
          <w:rFonts w:ascii="Garamond" w:hAnsi="Garamond" w:cs="EB Garamond"/>
        </w:rPr>
        <w:t>Webster Hall</w:t>
      </w:r>
      <w:r w:rsidR="007425EA">
        <w:rPr>
          <w:rFonts w:ascii="Garamond" w:hAnsi="Garamond" w:cs="EB Garamond"/>
        </w:rPr>
        <w:t xml:space="preserve"> </w:t>
      </w:r>
      <w:r>
        <w:rPr>
          <w:rFonts w:ascii="Garamond" w:hAnsi="Garamond" w:cs="EB Garamond"/>
        </w:rPr>
        <w:t>220</w:t>
      </w:r>
    </w:p>
    <w:p w14:paraId="7C7F7525" w14:textId="77777777" w:rsidR="00B119AF" w:rsidRPr="00B119AF" w:rsidRDefault="00B119AF" w:rsidP="00B119AF">
      <w:pPr>
        <w:pStyle w:val="Heading1"/>
        <w:rPr>
          <w:rFonts w:ascii="Garamond" w:hAnsi="Garamond" w:cs="EB Garamond"/>
          <w:sz w:val="24"/>
          <w:szCs w:val="24"/>
        </w:rPr>
      </w:pPr>
      <w:r w:rsidRPr="00B119AF">
        <w:rPr>
          <w:rFonts w:ascii="Garamond" w:hAnsi="Garamond" w:cs="EB Garamond"/>
          <w:sz w:val="24"/>
          <w:szCs w:val="24"/>
        </w:rPr>
        <w:t>Date and Time</w:t>
      </w:r>
    </w:p>
    <w:p w14:paraId="40BE07B3" w14:textId="2ED7C14C" w:rsidR="00B119AF" w:rsidRPr="00B119AF" w:rsidRDefault="00C60625" w:rsidP="00B119AF">
      <w:pPr>
        <w:pStyle w:val="BodyText"/>
        <w:rPr>
          <w:rFonts w:ascii="Garamond" w:hAnsi="Garamond" w:cs="EB Garamond"/>
        </w:rPr>
      </w:pPr>
      <w:r>
        <w:rPr>
          <w:rFonts w:ascii="Garamond" w:hAnsi="Garamond" w:cs="EB Garamond"/>
        </w:rPr>
        <w:t>Tuesdays</w:t>
      </w:r>
      <w:r w:rsidR="00B119AF" w:rsidRPr="00B119AF">
        <w:rPr>
          <w:rFonts w:ascii="Garamond" w:hAnsi="Garamond" w:cs="EB Garamond"/>
        </w:rPr>
        <w:t xml:space="preserve"> and </w:t>
      </w:r>
      <w:r>
        <w:rPr>
          <w:rFonts w:ascii="Garamond" w:hAnsi="Garamond" w:cs="EB Garamond"/>
        </w:rPr>
        <w:t>Thursdays</w:t>
      </w:r>
      <w:r w:rsidR="00B119AF" w:rsidRPr="00B119AF">
        <w:rPr>
          <w:rFonts w:ascii="Garamond" w:hAnsi="Garamond" w:cs="EB Garamond"/>
        </w:rPr>
        <w:t>, 10:05 AM—11:20 AM</w:t>
      </w:r>
    </w:p>
    <w:p w14:paraId="553A3039" w14:textId="77777777" w:rsidR="00B119AF" w:rsidRPr="00B119AF" w:rsidRDefault="00B119AF" w:rsidP="00B119AF">
      <w:pPr>
        <w:pStyle w:val="Heading1"/>
        <w:rPr>
          <w:rFonts w:ascii="Garamond" w:hAnsi="Garamond" w:cs="EB Garamond"/>
          <w:sz w:val="24"/>
          <w:szCs w:val="24"/>
        </w:rPr>
      </w:pPr>
      <w:r w:rsidRPr="00B119AF">
        <w:rPr>
          <w:rFonts w:ascii="Garamond" w:hAnsi="Garamond" w:cs="EB Garamond"/>
          <w:sz w:val="24"/>
          <w:szCs w:val="24"/>
        </w:rPr>
        <w:t>Office Hours</w:t>
      </w:r>
    </w:p>
    <w:p w14:paraId="3458DE83" w14:textId="77777777" w:rsidR="00B119AF" w:rsidRPr="00B119AF" w:rsidRDefault="00B119AF" w:rsidP="00B119AF">
      <w:pPr>
        <w:pStyle w:val="BodyText"/>
        <w:rPr>
          <w:rFonts w:ascii="Garamond" w:hAnsi="Garamond" w:cs="EB Garamond"/>
        </w:rPr>
      </w:pPr>
      <w:hyperlink r:id="rId7" w:history="1">
        <w:r w:rsidRPr="00B119AF">
          <w:rPr>
            <w:rStyle w:val="Hyperlink"/>
            <w:rFonts w:ascii="Garamond" w:hAnsi="Garamond" w:cs="EB Garamond"/>
          </w:rPr>
          <w:t>By Appointment in Morgan Hall — Room 306</w:t>
        </w:r>
      </w:hyperlink>
    </w:p>
    <w:p w14:paraId="68750A9C" w14:textId="0DD592DC" w:rsidR="00C70A7F" w:rsidRPr="00B119AF" w:rsidRDefault="00C70A7F">
      <w:pPr>
        <w:pStyle w:val="FirstParagraph"/>
        <w:rPr>
          <w:rFonts w:ascii="Garamond" w:hAnsi="Garamond"/>
        </w:rPr>
      </w:pPr>
    </w:p>
    <w:p w14:paraId="6D24E640" w14:textId="77777777" w:rsidR="00C70A7F" w:rsidRPr="00B119AF" w:rsidRDefault="00000000">
      <w:pPr>
        <w:pStyle w:val="Heading2"/>
        <w:rPr>
          <w:rFonts w:ascii="Garamond" w:hAnsi="Garamond"/>
        </w:rPr>
      </w:pPr>
      <w:bookmarkStart w:id="0" w:name="_Toc238577207"/>
      <w:bookmarkStart w:id="1" w:name="course-description"/>
      <w:r w:rsidRPr="00B119AF">
        <w:rPr>
          <w:rFonts w:ascii="Garamond" w:hAnsi="Garamond"/>
        </w:rPr>
        <w:t>Course Description</w:t>
      </w:r>
      <w:bookmarkEnd w:id="0"/>
    </w:p>
    <w:p w14:paraId="3BA20E73" w14:textId="77777777" w:rsidR="00C70A7F" w:rsidRPr="00B119AF" w:rsidRDefault="00000000">
      <w:pPr>
        <w:pStyle w:val="FirstParagraph"/>
        <w:rPr>
          <w:rFonts w:ascii="Garamond" w:hAnsi="Garamond"/>
        </w:rPr>
      </w:pPr>
      <w:r w:rsidRPr="00B119AF">
        <w:rPr>
          <w:rFonts w:ascii="Garamond" w:hAnsi="Garamond"/>
        </w:rPr>
        <w:t xml:space="preserve">Debates about immigration often implicate “culture.” Do immigrants share our cultural worldviews and moral orientations? What will happen to the </w:t>
      </w:r>
      <w:r w:rsidRPr="00B119AF">
        <w:rPr>
          <w:rFonts w:ascii="Garamond" w:hAnsi="Garamond"/>
          <w:i/>
          <w:iCs/>
        </w:rPr>
        <w:t>culture</w:t>
      </w:r>
      <w:r w:rsidRPr="00B119AF">
        <w:rPr>
          <w:rFonts w:ascii="Garamond" w:hAnsi="Garamond"/>
        </w:rPr>
        <w:t xml:space="preserve"> of “mainstream” society—the symbols, myths, and traditions that anchor our sense of peoplehood—when immigrants move in, changing the distribution of ideas, values, and beliefs in our neighborhoods and cities? To be sure, immigrants and their descendants often worry about </w:t>
      </w:r>
      <w:r w:rsidRPr="00B119AF">
        <w:rPr>
          <w:rFonts w:ascii="Garamond" w:hAnsi="Garamond"/>
          <w:i/>
          <w:iCs/>
        </w:rPr>
        <w:t>culture</w:t>
      </w:r>
      <w:r w:rsidRPr="00B119AF">
        <w:rPr>
          <w:rFonts w:ascii="Garamond" w:hAnsi="Garamond"/>
        </w:rPr>
        <w:t>, too, and lament being stuck between cultural worlds that are, at times, not straightforwardly compatible. More concerningly, immigrant-origin people often encounter rigid cultural boundaries (e.g., in the form of prejudice) that forestall their inclusion in greater society. The classical theory of assimilation was developed over a century ago to wrestle with these questions and challenges—and it will, along with its many successors, be the focus of this course.</w:t>
      </w:r>
    </w:p>
    <w:p w14:paraId="53112C84" w14:textId="77777777" w:rsidR="00C70A7F" w:rsidRPr="00B119AF" w:rsidRDefault="00000000">
      <w:pPr>
        <w:pStyle w:val="BodyText"/>
        <w:rPr>
          <w:rFonts w:ascii="Garamond" w:hAnsi="Garamond"/>
        </w:rPr>
      </w:pPr>
      <w:r w:rsidRPr="00B119AF">
        <w:rPr>
          <w:rFonts w:ascii="Garamond" w:hAnsi="Garamond"/>
        </w:rPr>
        <w:t>During the semester, we will discuss the long history of assimilation theory in sociology and adjacent fields, consider its problematic origins, and map how newer theoretical models (e.g., neo-assimilationism, segmented assimilation theory) have pushed sociological analyses of “cultural assimilation” in a more productive, normatively defensible, and empirically tractable direction. At the same time, we will chart some of the limitations of these newer approaches to theorizing assimilation and discuss potential paths forward that bring the study of international migration into conversation with cultural and cognitive sociology.</w:t>
      </w:r>
    </w:p>
    <w:p w14:paraId="6264481E" w14:textId="77777777" w:rsidR="00C70A7F" w:rsidRPr="00B119AF" w:rsidRDefault="00000000">
      <w:pPr>
        <w:pStyle w:val="Heading2"/>
        <w:rPr>
          <w:rFonts w:ascii="Garamond" w:hAnsi="Garamond"/>
        </w:rPr>
      </w:pPr>
      <w:bookmarkStart w:id="2" w:name="_Toc238577208"/>
      <w:bookmarkStart w:id="3" w:name="structure"/>
      <w:bookmarkEnd w:id="1"/>
      <w:r w:rsidRPr="00B119AF">
        <w:rPr>
          <w:rFonts w:ascii="Garamond" w:hAnsi="Garamond"/>
        </w:rPr>
        <w:lastRenderedPageBreak/>
        <w:t>Structure</w:t>
      </w:r>
      <w:bookmarkEnd w:id="2"/>
    </w:p>
    <w:p w14:paraId="3C2F951E" w14:textId="77777777" w:rsidR="00C70A7F" w:rsidRPr="00B119AF" w:rsidRDefault="00000000">
      <w:pPr>
        <w:pStyle w:val="Heading3"/>
        <w:rPr>
          <w:rFonts w:ascii="Garamond" w:hAnsi="Garamond"/>
        </w:rPr>
      </w:pPr>
      <w:bookmarkStart w:id="4" w:name="_Toc238577209"/>
      <w:bookmarkStart w:id="5" w:name="design-of-synchronous-class-sessions"/>
      <w:r w:rsidRPr="00B119AF">
        <w:rPr>
          <w:rFonts w:ascii="Garamond" w:hAnsi="Garamond"/>
        </w:rPr>
        <w:t>Design of Synchronous Class Sessions</w:t>
      </w:r>
      <w:bookmarkEnd w:id="4"/>
    </w:p>
    <w:p w14:paraId="08788129" w14:textId="77777777" w:rsidR="00C70A7F" w:rsidRPr="00B119AF" w:rsidRDefault="00000000">
      <w:pPr>
        <w:pStyle w:val="FirstParagraph"/>
        <w:rPr>
          <w:rFonts w:ascii="Garamond" w:hAnsi="Garamond"/>
        </w:rPr>
      </w:pPr>
      <w:r w:rsidRPr="00B119AF">
        <w:rPr>
          <w:rFonts w:ascii="Garamond" w:hAnsi="Garamond"/>
        </w:rPr>
        <w:t xml:space="preserve">Most classes will follow a simple structure. I will begin with a lecture that goes through some of our assigned readings and summarizes conversations from our online discussion board (more on that </w:t>
      </w:r>
      <w:hyperlink w:anchor="evaluations">
        <w:r w:rsidR="00C70A7F" w:rsidRPr="00B119AF">
          <w:rPr>
            <w:rStyle w:val="Hyperlink"/>
            <w:rFonts w:ascii="Garamond" w:hAnsi="Garamond"/>
          </w:rPr>
          <w:t>later</w:t>
        </w:r>
      </w:hyperlink>
      <w:r w:rsidRPr="00B119AF">
        <w:rPr>
          <w:rFonts w:ascii="Garamond" w:hAnsi="Garamond"/>
        </w:rPr>
        <w:t>).</w:t>
      </w:r>
      <w:r w:rsidRPr="00B119AF">
        <w:rPr>
          <w:rStyle w:val="FootnoteReference"/>
          <w:rFonts w:ascii="Garamond" w:hAnsi="Garamond"/>
        </w:rPr>
        <w:footnoteReference w:id="1"/>
      </w:r>
      <w:r w:rsidRPr="00B119AF">
        <w:rPr>
          <w:rFonts w:ascii="Garamond" w:hAnsi="Garamond"/>
        </w:rPr>
        <w:t xml:space="preserve"> Then, I will toss the baton over to all of you. You will get into small groups (comprised of 3 to 4 students) and provide answers to the prompts highlighted in the screen before you. These group discussions will only last about 20-30 minutes, but they are vital—i.e., they will set the stage for our plenary discussions and serve as a key indicator of your participation grade for the course. To end each synchronous session, we will get together as a broader collective and discuss the themes that emerged during group discussions.</w:t>
      </w:r>
    </w:p>
    <w:p w14:paraId="11FFAC88" w14:textId="77777777" w:rsidR="00C70A7F" w:rsidRPr="00B119AF" w:rsidRDefault="00000000">
      <w:pPr>
        <w:pStyle w:val="Heading3"/>
        <w:rPr>
          <w:rFonts w:ascii="Garamond" w:hAnsi="Garamond"/>
        </w:rPr>
      </w:pPr>
      <w:bookmarkStart w:id="6" w:name="_Toc238577210"/>
      <w:bookmarkStart w:id="7" w:name="distribution-of-topics-readings"/>
      <w:bookmarkEnd w:id="5"/>
      <w:r w:rsidRPr="00B119AF">
        <w:rPr>
          <w:rFonts w:ascii="Garamond" w:hAnsi="Garamond"/>
        </w:rPr>
        <w:t>Distribution of Topics &amp; Readings</w:t>
      </w:r>
      <w:bookmarkEnd w:id="6"/>
    </w:p>
    <w:p w14:paraId="188A9E72" w14:textId="77777777" w:rsidR="00C70A7F" w:rsidRPr="00B119AF" w:rsidRDefault="00000000">
      <w:pPr>
        <w:pStyle w:val="FirstParagraph"/>
        <w:rPr>
          <w:rFonts w:ascii="Garamond" w:hAnsi="Garamond"/>
        </w:rPr>
      </w:pPr>
      <w:r w:rsidRPr="00B119AF">
        <w:rPr>
          <w:rFonts w:ascii="Garamond" w:hAnsi="Garamond"/>
        </w:rPr>
        <w:t xml:space="preserve">We will cover over a century’s worth of assimilation theory in this class. Some of the material will be exciting, others less so. Some readings may seem eminently topical, others like a distressed relic from a bygone era that has little bearing on the social world as we understand it today. It is important to critically engage with all these studies and disquisitions, from the canonical work of Robert E. Park and Milton Gordon to “timelier” research that is being published on the pages of the </w:t>
      </w:r>
      <w:r w:rsidRPr="00B119AF">
        <w:rPr>
          <w:rFonts w:ascii="Garamond" w:hAnsi="Garamond"/>
          <w:i/>
          <w:iCs/>
        </w:rPr>
        <w:t>International Migration Review</w:t>
      </w:r>
      <w:r w:rsidRPr="00B119AF">
        <w:rPr>
          <w:rFonts w:ascii="Garamond" w:hAnsi="Garamond"/>
        </w:rPr>
        <w:t xml:space="preserve"> and </w:t>
      </w:r>
      <w:r w:rsidRPr="00B119AF">
        <w:rPr>
          <w:rFonts w:ascii="Garamond" w:hAnsi="Garamond"/>
          <w:i/>
          <w:iCs/>
        </w:rPr>
        <w:t>Journal of Ethnic and Migration Studies</w:t>
      </w:r>
      <w:r w:rsidRPr="00B119AF">
        <w:rPr>
          <w:rFonts w:ascii="Garamond" w:hAnsi="Garamond"/>
        </w:rPr>
        <w:t xml:space="preserve"> today. This is how we will come to understand the evolution and genealogy of a theoretical program that has, despite its many critics, survived the passage of time.</w:t>
      </w:r>
    </w:p>
    <w:p w14:paraId="18ED485E" w14:textId="77777777" w:rsidR="00C70A7F" w:rsidRPr="00B119AF" w:rsidRDefault="00C70A7F">
      <w:pPr>
        <w:pStyle w:val="BodyText"/>
        <w:rPr>
          <w:rFonts w:ascii="Garamond" w:hAnsi="Garamond"/>
        </w:rPr>
      </w:pPr>
      <w:hyperlink w:anchor="parti">
        <w:r w:rsidRPr="00B119AF">
          <w:rPr>
            <w:rStyle w:val="Hyperlink"/>
            <w:rFonts w:ascii="Garamond" w:hAnsi="Garamond"/>
          </w:rPr>
          <w:t>Part I</w:t>
        </w:r>
      </w:hyperlink>
      <w:r w:rsidRPr="00B119AF">
        <w:rPr>
          <w:rFonts w:ascii="Garamond" w:hAnsi="Garamond"/>
        </w:rPr>
        <w:t xml:space="preserve"> of the course will provide </w:t>
      </w:r>
      <w:r w:rsidRPr="00B119AF">
        <w:rPr>
          <w:rFonts w:ascii="Garamond" w:hAnsi="Garamond"/>
          <w:i/>
          <w:iCs/>
        </w:rPr>
        <w:t>theoretical foundations</w:t>
      </w:r>
      <w:r w:rsidRPr="00B119AF">
        <w:rPr>
          <w:rFonts w:ascii="Garamond" w:hAnsi="Garamond"/>
        </w:rPr>
        <w:t xml:space="preserve">. More specifically, we will explore classical assimilation theory and its successors in sociology and cognate fields—and in doing so, gain a sense of what assimilation theory </w:t>
      </w:r>
      <w:r w:rsidRPr="00B119AF">
        <w:rPr>
          <w:rFonts w:ascii="Garamond" w:hAnsi="Garamond"/>
          <w:i/>
          <w:iCs/>
        </w:rPr>
        <w:t>means</w:t>
      </w:r>
      <w:r w:rsidRPr="00B119AF">
        <w:rPr>
          <w:rFonts w:ascii="Garamond" w:hAnsi="Garamond"/>
        </w:rPr>
        <w:t xml:space="preserve"> and how the basic assumptions of the paradigm have evolved with time. </w:t>
      </w:r>
      <w:hyperlink w:anchor="partii">
        <w:r w:rsidRPr="00B119AF">
          <w:rPr>
            <w:rStyle w:val="Hyperlink"/>
            <w:rFonts w:ascii="Garamond" w:hAnsi="Garamond"/>
          </w:rPr>
          <w:t>Part II</w:t>
        </w:r>
      </w:hyperlink>
      <w:r w:rsidRPr="00B119AF">
        <w:rPr>
          <w:rFonts w:ascii="Garamond" w:hAnsi="Garamond"/>
        </w:rPr>
        <w:t xml:space="preserve"> should add some life and vividness to these theoretical abstractions. Concretely, we will go through a series of </w:t>
      </w:r>
      <w:r w:rsidRPr="00B119AF">
        <w:rPr>
          <w:rFonts w:ascii="Garamond" w:hAnsi="Garamond"/>
          <w:i/>
          <w:iCs/>
        </w:rPr>
        <w:t>case studies</w:t>
      </w:r>
      <w:r w:rsidRPr="00B119AF">
        <w:rPr>
          <w:rFonts w:ascii="Garamond" w:hAnsi="Garamond"/>
        </w:rPr>
        <w:t xml:space="preserve"> and analyze whether different perspectives on assimilation “fit the data” or help us understand (i) the lived experiences of immigrant-origin populations in America; and (ii) political debates about the cultural </w:t>
      </w:r>
      <w:r w:rsidRPr="00B119AF">
        <w:rPr>
          <w:rFonts w:ascii="Garamond" w:hAnsi="Garamond"/>
          <w:i/>
          <w:iCs/>
        </w:rPr>
        <w:t>incorporation</w:t>
      </w:r>
      <w:r w:rsidRPr="00B119AF">
        <w:rPr>
          <w:rFonts w:ascii="Garamond" w:hAnsi="Garamond"/>
        </w:rPr>
        <w:t xml:space="preserve"> of immigrant-origin people in the United States and beyond. Finally, </w:t>
      </w:r>
      <w:hyperlink w:anchor="partiii">
        <w:r w:rsidRPr="00B119AF">
          <w:rPr>
            <w:rStyle w:val="Hyperlink"/>
            <w:rFonts w:ascii="Garamond" w:hAnsi="Garamond"/>
          </w:rPr>
          <w:t>Part III</w:t>
        </w:r>
      </w:hyperlink>
      <w:r w:rsidRPr="00B119AF">
        <w:rPr>
          <w:rFonts w:ascii="Garamond" w:hAnsi="Garamond"/>
        </w:rPr>
        <w:t>—which coincides with the final weeks of class—will feature presentations related to students’ term papers and augur the end of the fall semester.</w:t>
      </w:r>
    </w:p>
    <w:p w14:paraId="61FE0687" w14:textId="77777777" w:rsidR="00C70A7F" w:rsidRPr="00B119AF" w:rsidRDefault="00000000">
      <w:pPr>
        <w:pStyle w:val="Heading2"/>
        <w:rPr>
          <w:rFonts w:ascii="Garamond" w:hAnsi="Garamond"/>
        </w:rPr>
      </w:pPr>
      <w:bookmarkStart w:id="8" w:name="_Toc238577211"/>
      <w:bookmarkStart w:id="9" w:name="readings"/>
      <w:bookmarkEnd w:id="3"/>
      <w:bookmarkEnd w:id="7"/>
      <w:r w:rsidRPr="00B119AF">
        <w:rPr>
          <w:rFonts w:ascii="Garamond" w:hAnsi="Garamond"/>
        </w:rPr>
        <w:t>Readings</w:t>
      </w:r>
      <w:bookmarkEnd w:id="8"/>
    </w:p>
    <w:p w14:paraId="694D54B6" w14:textId="414B8CC7" w:rsidR="00C70A7F" w:rsidRPr="00B119AF" w:rsidRDefault="00000000">
      <w:pPr>
        <w:pStyle w:val="FirstParagraph"/>
        <w:rPr>
          <w:rFonts w:ascii="Garamond" w:hAnsi="Garamond"/>
        </w:rPr>
      </w:pPr>
      <w:r w:rsidRPr="00B119AF">
        <w:rPr>
          <w:rFonts w:ascii="Garamond" w:hAnsi="Garamond"/>
        </w:rPr>
        <w:t xml:space="preserve">Readings are available through the mystifying power of Moodle. As you plan for the semester, it may be useful to bookmark the </w:t>
      </w:r>
      <w:hyperlink r:id="rId8">
        <w:r w:rsidR="00C70A7F" w:rsidRPr="00B119AF">
          <w:rPr>
            <w:rStyle w:val="Hyperlink"/>
            <w:rFonts w:ascii="Garamond" w:hAnsi="Garamond"/>
          </w:rPr>
          <w:t>eReserves page</w:t>
        </w:r>
      </w:hyperlink>
      <w:r w:rsidRPr="00B119AF">
        <w:rPr>
          <w:rFonts w:ascii="Garamond" w:hAnsi="Garamond"/>
        </w:rPr>
        <w:t xml:space="preserve"> on our course website. New readings may be introduced as the world around us evolves, whether via the incremental march of science or in response to social, economic and political shocks that warrant further reflection.</w:t>
      </w:r>
    </w:p>
    <w:p w14:paraId="56B7CAFE" w14:textId="77777777" w:rsidR="00C70A7F" w:rsidRPr="00B119AF" w:rsidRDefault="00000000">
      <w:pPr>
        <w:pStyle w:val="Heading4"/>
        <w:rPr>
          <w:rFonts w:ascii="Garamond" w:hAnsi="Garamond"/>
        </w:rPr>
      </w:pPr>
      <w:bookmarkStart w:id="10" w:name="optional-readings"/>
      <w:r w:rsidRPr="00B119AF">
        <w:rPr>
          <w:rFonts w:ascii="Garamond" w:hAnsi="Garamond"/>
        </w:rPr>
        <w:t>Optional Readings</w:t>
      </w:r>
    </w:p>
    <w:p w14:paraId="63F35C4C" w14:textId="77777777" w:rsidR="00C70A7F" w:rsidRPr="00B119AF" w:rsidRDefault="00000000">
      <w:pPr>
        <w:pStyle w:val="FirstParagraph"/>
        <w:rPr>
          <w:rFonts w:ascii="Garamond" w:hAnsi="Garamond"/>
        </w:rPr>
      </w:pPr>
      <w:r w:rsidRPr="00B119AF">
        <w:rPr>
          <w:rFonts w:ascii="Garamond" w:hAnsi="Garamond"/>
        </w:rPr>
        <w:t xml:space="preserve">As a forewarning: readings underlined in the </w:t>
      </w:r>
      <w:hyperlink w:anchor="weekly">
        <w:r w:rsidR="00C70A7F" w:rsidRPr="00B119AF">
          <w:rPr>
            <w:rStyle w:val="Hyperlink"/>
            <w:rFonts w:ascii="Garamond" w:hAnsi="Garamond"/>
          </w:rPr>
          <w:t>Weekly Schedule</w:t>
        </w:r>
      </w:hyperlink>
      <w:r w:rsidRPr="00B119AF">
        <w:rPr>
          <w:rFonts w:ascii="Garamond" w:hAnsi="Garamond"/>
        </w:rPr>
        <w:t xml:space="preserve"> section </w:t>
      </w:r>
      <w:proofErr w:type="gramStart"/>
      <w:r w:rsidRPr="00B119AF">
        <w:rPr>
          <w:rFonts w:ascii="Garamond" w:hAnsi="Garamond"/>
        </w:rPr>
        <w:t>are</w:t>
      </w:r>
      <w:proofErr w:type="gramEnd"/>
      <w:r w:rsidRPr="00B119AF">
        <w:rPr>
          <w:rFonts w:ascii="Garamond" w:hAnsi="Garamond"/>
        </w:rPr>
        <w:t xml:space="preserve"> </w:t>
      </w:r>
      <w:r w:rsidRPr="00B119AF">
        <w:rPr>
          <w:rFonts w:ascii="Garamond" w:hAnsi="Garamond"/>
          <w:b/>
          <w:bCs/>
        </w:rPr>
        <w:t>optional</w:t>
      </w:r>
      <w:r w:rsidRPr="00B119AF">
        <w:rPr>
          <w:rFonts w:ascii="Garamond" w:hAnsi="Garamond"/>
        </w:rPr>
        <w:t>.</w:t>
      </w:r>
    </w:p>
    <w:p w14:paraId="0A28AA47" w14:textId="77777777" w:rsidR="00C70A7F" w:rsidRPr="00B119AF" w:rsidRDefault="00000000">
      <w:pPr>
        <w:pStyle w:val="Heading2"/>
        <w:rPr>
          <w:rFonts w:ascii="Garamond" w:hAnsi="Garamond"/>
        </w:rPr>
      </w:pPr>
      <w:bookmarkStart w:id="11" w:name="_Toc238577212"/>
      <w:bookmarkStart w:id="12" w:name="evaluations"/>
      <w:bookmarkEnd w:id="9"/>
      <w:bookmarkEnd w:id="10"/>
      <w:r w:rsidRPr="00B119AF">
        <w:rPr>
          <w:rFonts w:ascii="Garamond" w:hAnsi="Garamond"/>
        </w:rPr>
        <w:lastRenderedPageBreak/>
        <w:t>Evaluations</w:t>
      </w:r>
      <w:bookmarkEnd w:id="11"/>
    </w:p>
    <w:p w14:paraId="55191107" w14:textId="77777777" w:rsidR="00C70A7F" w:rsidRPr="00B119AF" w:rsidRDefault="00000000">
      <w:pPr>
        <w:pStyle w:val="Heading3"/>
        <w:rPr>
          <w:rFonts w:ascii="Garamond" w:hAnsi="Garamond"/>
        </w:rPr>
      </w:pPr>
      <w:bookmarkStart w:id="13" w:name="_Toc238577213"/>
      <w:bookmarkStart w:id="14" w:name="a-birds-eye-view"/>
      <w:r w:rsidRPr="00B119AF">
        <w:rPr>
          <w:rFonts w:ascii="Garamond" w:hAnsi="Garamond"/>
        </w:rPr>
        <w:t>A Bird’s Eye View</w:t>
      </w:r>
      <w:bookmarkEnd w:id="13"/>
    </w:p>
    <w:tbl>
      <w:tblPr>
        <w:tblStyle w:val="TableGrid"/>
        <w:tblW w:w="5000" w:type="pct"/>
        <w:tblLayout w:type="fixed"/>
        <w:tblLook w:val="0020" w:firstRow="1" w:lastRow="0" w:firstColumn="0" w:lastColumn="0" w:noHBand="0" w:noVBand="0"/>
      </w:tblPr>
      <w:tblGrid>
        <w:gridCol w:w="1533"/>
        <w:gridCol w:w="4812"/>
        <w:gridCol w:w="1134"/>
        <w:gridCol w:w="2097"/>
      </w:tblGrid>
      <w:tr w:rsidR="00C70A7F" w:rsidRPr="00B119AF" w14:paraId="2A1C462D" w14:textId="77777777" w:rsidTr="00B119AF">
        <w:tc>
          <w:tcPr>
            <w:tcW w:w="1533" w:type="dxa"/>
            <w:vAlign w:val="center"/>
          </w:tcPr>
          <w:p w14:paraId="3DAF0BF7" w14:textId="77777777" w:rsidR="00C70A7F" w:rsidRPr="00B119AF" w:rsidRDefault="00000000" w:rsidP="00B119AF">
            <w:pPr>
              <w:pStyle w:val="Compact"/>
              <w:jc w:val="center"/>
              <w:rPr>
                <w:rFonts w:ascii="Garamond" w:hAnsi="Garamond"/>
                <w:b/>
                <w:bCs/>
                <w:sz w:val="22"/>
                <w:szCs w:val="22"/>
              </w:rPr>
            </w:pPr>
            <w:r w:rsidRPr="00B119AF">
              <w:rPr>
                <w:rFonts w:ascii="Garamond" w:hAnsi="Garamond"/>
                <w:b/>
                <w:bCs/>
                <w:sz w:val="22"/>
                <w:szCs w:val="22"/>
              </w:rPr>
              <w:t>Task</w:t>
            </w:r>
          </w:p>
        </w:tc>
        <w:tc>
          <w:tcPr>
            <w:tcW w:w="4812" w:type="dxa"/>
            <w:vAlign w:val="center"/>
          </w:tcPr>
          <w:p w14:paraId="7F6AD513" w14:textId="77777777" w:rsidR="00C70A7F" w:rsidRPr="00B119AF" w:rsidRDefault="00000000" w:rsidP="00B119AF">
            <w:pPr>
              <w:pStyle w:val="Compact"/>
              <w:jc w:val="center"/>
              <w:rPr>
                <w:rFonts w:ascii="Garamond" w:hAnsi="Garamond"/>
                <w:b/>
                <w:bCs/>
                <w:sz w:val="22"/>
                <w:szCs w:val="22"/>
              </w:rPr>
            </w:pPr>
            <w:r w:rsidRPr="00B119AF">
              <w:rPr>
                <w:rFonts w:ascii="Garamond" w:hAnsi="Garamond"/>
                <w:b/>
                <w:bCs/>
                <w:sz w:val="22"/>
                <w:szCs w:val="22"/>
              </w:rPr>
              <w:t>Description</w:t>
            </w:r>
          </w:p>
        </w:tc>
        <w:tc>
          <w:tcPr>
            <w:tcW w:w="1134" w:type="dxa"/>
            <w:vAlign w:val="center"/>
          </w:tcPr>
          <w:p w14:paraId="407D2BA5" w14:textId="77777777" w:rsidR="00C70A7F" w:rsidRPr="00B119AF" w:rsidRDefault="00000000" w:rsidP="00B119AF">
            <w:pPr>
              <w:pStyle w:val="Compact"/>
              <w:jc w:val="center"/>
              <w:rPr>
                <w:rFonts w:ascii="Garamond" w:hAnsi="Garamond"/>
                <w:b/>
                <w:bCs/>
                <w:sz w:val="22"/>
                <w:szCs w:val="22"/>
              </w:rPr>
            </w:pPr>
            <w:r w:rsidRPr="00B119AF">
              <w:rPr>
                <w:rFonts w:ascii="Garamond" w:hAnsi="Garamond"/>
                <w:b/>
                <w:bCs/>
                <w:sz w:val="22"/>
                <w:szCs w:val="22"/>
              </w:rPr>
              <w:t>Weight</w:t>
            </w:r>
          </w:p>
        </w:tc>
        <w:tc>
          <w:tcPr>
            <w:tcW w:w="2097" w:type="dxa"/>
            <w:vAlign w:val="center"/>
          </w:tcPr>
          <w:p w14:paraId="1D002871" w14:textId="543B6E12" w:rsidR="00C70A7F" w:rsidRPr="00B119AF" w:rsidRDefault="00000000" w:rsidP="00B119AF">
            <w:pPr>
              <w:pStyle w:val="Compact"/>
              <w:jc w:val="center"/>
              <w:rPr>
                <w:rFonts w:ascii="Garamond" w:hAnsi="Garamond"/>
                <w:b/>
                <w:bCs/>
                <w:sz w:val="22"/>
                <w:szCs w:val="22"/>
              </w:rPr>
            </w:pPr>
            <w:r w:rsidRPr="00B119AF">
              <w:rPr>
                <w:rFonts w:ascii="Garamond" w:hAnsi="Garamond"/>
                <w:b/>
                <w:bCs/>
                <w:sz w:val="22"/>
                <w:szCs w:val="22"/>
              </w:rPr>
              <w:t>Deadline or</w:t>
            </w:r>
            <w:r w:rsidR="00B119AF" w:rsidRPr="00B119AF">
              <w:rPr>
                <w:rFonts w:ascii="Garamond" w:hAnsi="Garamond"/>
                <w:b/>
                <w:bCs/>
                <w:sz w:val="22"/>
                <w:szCs w:val="22"/>
              </w:rPr>
              <w:t xml:space="preserve"> </w:t>
            </w:r>
            <w:r w:rsidRPr="00B119AF">
              <w:rPr>
                <w:rFonts w:ascii="Garamond" w:hAnsi="Garamond"/>
                <w:b/>
                <w:bCs/>
                <w:sz w:val="22"/>
                <w:szCs w:val="22"/>
              </w:rPr>
              <w:t>Evaluative Time Horizon</w:t>
            </w:r>
          </w:p>
        </w:tc>
      </w:tr>
      <w:tr w:rsidR="00C70A7F" w:rsidRPr="00B119AF" w14:paraId="12D2FF78" w14:textId="77777777" w:rsidTr="00B119AF">
        <w:tc>
          <w:tcPr>
            <w:tcW w:w="1533" w:type="dxa"/>
            <w:vAlign w:val="center"/>
          </w:tcPr>
          <w:p w14:paraId="19BCFEFF"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Response Memos</w:t>
            </w:r>
          </w:p>
        </w:tc>
        <w:tc>
          <w:tcPr>
            <w:tcW w:w="4812" w:type="dxa"/>
          </w:tcPr>
          <w:p w14:paraId="028F3D87" w14:textId="35DEE93F" w:rsidR="00C70A7F" w:rsidRPr="00B119AF" w:rsidRDefault="00000000">
            <w:pPr>
              <w:pStyle w:val="Compact"/>
              <w:rPr>
                <w:rFonts w:ascii="Garamond" w:hAnsi="Garamond"/>
                <w:sz w:val="21"/>
                <w:szCs w:val="21"/>
              </w:rPr>
            </w:pPr>
            <w:r w:rsidRPr="00B119AF">
              <w:rPr>
                <w:rFonts w:ascii="Garamond" w:hAnsi="Garamond"/>
                <w:sz w:val="21"/>
                <w:szCs w:val="21"/>
              </w:rPr>
              <w:t xml:space="preserve">On a weekly basis, students will engage with—and respond to—questions posed on our </w:t>
            </w:r>
            <w:hyperlink r:id="rId9">
              <w:r w:rsidR="00C70A7F" w:rsidRPr="00B119AF">
                <w:rPr>
                  <w:rStyle w:val="Hyperlink"/>
                  <w:rFonts w:ascii="Garamond" w:hAnsi="Garamond"/>
                  <w:sz w:val="21"/>
                  <w:szCs w:val="21"/>
                </w:rPr>
                <w:t>Moodle Discussion Board</w:t>
              </w:r>
            </w:hyperlink>
            <w:r w:rsidRPr="00B119AF">
              <w:rPr>
                <w:rFonts w:ascii="Garamond" w:hAnsi="Garamond"/>
                <w:sz w:val="21"/>
                <w:szCs w:val="21"/>
              </w:rPr>
              <w:t>. Responses must be between 250–400 words, or a penalty will be applied.</w:t>
            </w:r>
          </w:p>
        </w:tc>
        <w:tc>
          <w:tcPr>
            <w:tcW w:w="1134" w:type="dxa"/>
            <w:vAlign w:val="center"/>
          </w:tcPr>
          <w:p w14:paraId="4C38230F"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10%</w:t>
            </w:r>
          </w:p>
        </w:tc>
        <w:tc>
          <w:tcPr>
            <w:tcW w:w="2097" w:type="dxa"/>
            <w:vAlign w:val="center"/>
          </w:tcPr>
          <w:p w14:paraId="54EF8352" w14:textId="77777777" w:rsidR="00B119AF" w:rsidRPr="00B119AF" w:rsidRDefault="00000000" w:rsidP="00B119AF">
            <w:pPr>
              <w:pStyle w:val="Compact"/>
              <w:jc w:val="center"/>
              <w:rPr>
                <w:rFonts w:ascii="Garamond" w:hAnsi="Garamond"/>
                <w:sz w:val="21"/>
                <w:szCs w:val="21"/>
              </w:rPr>
            </w:pPr>
            <w:r w:rsidRPr="00B119AF">
              <w:rPr>
                <w:rFonts w:ascii="Garamond" w:hAnsi="Garamond"/>
                <w:sz w:val="21"/>
                <w:szCs w:val="21"/>
              </w:rPr>
              <w:t>8:00 PM on Mondays.</w:t>
            </w:r>
          </w:p>
          <w:p w14:paraId="20A5C714" w14:textId="06FA8C92"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 xml:space="preserve">Evaluated from </w:t>
            </w:r>
            <w:hyperlink w:anchor="week3">
              <w:r w:rsidR="00C70A7F" w:rsidRPr="00B119AF">
                <w:rPr>
                  <w:rStyle w:val="Hyperlink"/>
                  <w:rFonts w:ascii="Garamond" w:hAnsi="Garamond"/>
                  <w:sz w:val="21"/>
                  <w:szCs w:val="21"/>
                </w:rPr>
                <w:t>Week 3</w:t>
              </w:r>
            </w:hyperlink>
            <w:r w:rsidRPr="00B119AF">
              <w:rPr>
                <w:rFonts w:ascii="Garamond" w:hAnsi="Garamond"/>
                <w:sz w:val="21"/>
                <w:szCs w:val="21"/>
              </w:rPr>
              <w:t xml:space="preserve"> onwards.</w:t>
            </w:r>
          </w:p>
        </w:tc>
      </w:tr>
      <w:tr w:rsidR="00C70A7F" w:rsidRPr="00B119AF" w14:paraId="735C68C0" w14:textId="77777777" w:rsidTr="00B119AF">
        <w:tc>
          <w:tcPr>
            <w:tcW w:w="1533" w:type="dxa"/>
            <w:vAlign w:val="center"/>
          </w:tcPr>
          <w:p w14:paraId="439F50B9"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Participation</w:t>
            </w:r>
          </w:p>
        </w:tc>
        <w:tc>
          <w:tcPr>
            <w:tcW w:w="4812" w:type="dxa"/>
          </w:tcPr>
          <w:p w14:paraId="51E8908A" w14:textId="77777777" w:rsidR="00C70A7F" w:rsidRPr="00B119AF" w:rsidRDefault="00000000">
            <w:pPr>
              <w:pStyle w:val="Compact"/>
              <w:rPr>
                <w:rFonts w:ascii="Garamond" w:hAnsi="Garamond"/>
                <w:sz w:val="21"/>
                <w:szCs w:val="21"/>
              </w:rPr>
            </w:pPr>
            <w:r w:rsidRPr="00B119AF">
              <w:rPr>
                <w:rFonts w:ascii="Garamond" w:hAnsi="Garamond"/>
                <w:sz w:val="21"/>
                <w:szCs w:val="21"/>
              </w:rPr>
              <w:t xml:space="preserve">Students must </w:t>
            </w:r>
            <w:r w:rsidRPr="00B119AF">
              <w:rPr>
                <w:rFonts w:ascii="Garamond" w:hAnsi="Garamond"/>
                <w:b/>
                <w:bCs/>
                <w:sz w:val="21"/>
                <w:szCs w:val="21"/>
              </w:rPr>
              <w:t>actively</w:t>
            </w:r>
            <w:r w:rsidRPr="00B119AF">
              <w:rPr>
                <w:rFonts w:ascii="Garamond" w:hAnsi="Garamond"/>
                <w:sz w:val="21"/>
                <w:szCs w:val="21"/>
              </w:rPr>
              <w:t xml:space="preserve"> participate in class discussions by raising their hand to share their thoughts or by meaningfully contributing to small group conversations.</w:t>
            </w:r>
          </w:p>
        </w:tc>
        <w:tc>
          <w:tcPr>
            <w:tcW w:w="1134" w:type="dxa"/>
            <w:vAlign w:val="center"/>
          </w:tcPr>
          <w:p w14:paraId="61FDD4F9"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20%</w:t>
            </w:r>
          </w:p>
        </w:tc>
        <w:tc>
          <w:tcPr>
            <w:tcW w:w="2097" w:type="dxa"/>
            <w:vAlign w:val="center"/>
          </w:tcPr>
          <w:p w14:paraId="61E0424D"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Evaluated during class sessions throughout the term.</w:t>
            </w:r>
          </w:p>
        </w:tc>
      </w:tr>
      <w:tr w:rsidR="00C70A7F" w:rsidRPr="00B119AF" w14:paraId="5C75B6E8" w14:textId="77777777" w:rsidTr="00B119AF">
        <w:tc>
          <w:tcPr>
            <w:tcW w:w="1533" w:type="dxa"/>
            <w:vAlign w:val="center"/>
          </w:tcPr>
          <w:p w14:paraId="3B2B735A"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Midterm Exam</w:t>
            </w:r>
          </w:p>
        </w:tc>
        <w:tc>
          <w:tcPr>
            <w:tcW w:w="4812" w:type="dxa"/>
          </w:tcPr>
          <w:p w14:paraId="0CF5293A" w14:textId="77777777" w:rsidR="00C70A7F" w:rsidRPr="00B119AF" w:rsidRDefault="00000000">
            <w:pPr>
              <w:pStyle w:val="Compact"/>
              <w:rPr>
                <w:rFonts w:ascii="Garamond" w:hAnsi="Garamond"/>
                <w:sz w:val="21"/>
                <w:szCs w:val="21"/>
              </w:rPr>
            </w:pPr>
            <w:r w:rsidRPr="00B119AF">
              <w:rPr>
                <w:rFonts w:ascii="Garamond" w:hAnsi="Garamond"/>
                <w:sz w:val="21"/>
                <w:szCs w:val="21"/>
              </w:rPr>
              <w:t xml:space="preserve">Students will complete a </w:t>
            </w:r>
            <w:r w:rsidRPr="00B119AF">
              <w:rPr>
                <w:rFonts w:ascii="Garamond" w:hAnsi="Garamond"/>
                <w:b/>
                <w:bCs/>
                <w:sz w:val="21"/>
                <w:szCs w:val="21"/>
              </w:rPr>
              <w:t>midterm exam</w:t>
            </w:r>
            <w:r w:rsidRPr="00B119AF">
              <w:rPr>
                <w:rFonts w:ascii="Garamond" w:hAnsi="Garamond"/>
                <w:sz w:val="21"/>
                <w:szCs w:val="21"/>
              </w:rPr>
              <w:t xml:space="preserve"> split across two sessions. The first will feature a series of multiple-choice questions, the second a set of short-answer questions. Taken together, the exam will assess students’ grasp of the material covered in </w:t>
            </w:r>
            <w:hyperlink w:anchor="parti">
              <w:r w:rsidR="00C70A7F" w:rsidRPr="00B119AF">
                <w:rPr>
                  <w:rStyle w:val="Hyperlink"/>
                  <w:rFonts w:ascii="Garamond" w:hAnsi="Garamond"/>
                  <w:sz w:val="21"/>
                  <w:szCs w:val="21"/>
                </w:rPr>
                <w:t>Part I</w:t>
              </w:r>
            </w:hyperlink>
            <w:r w:rsidRPr="00B119AF">
              <w:rPr>
                <w:rFonts w:ascii="Garamond" w:hAnsi="Garamond"/>
                <w:sz w:val="21"/>
                <w:szCs w:val="21"/>
              </w:rPr>
              <w:t xml:space="preserve"> of the course.</w:t>
            </w:r>
          </w:p>
        </w:tc>
        <w:tc>
          <w:tcPr>
            <w:tcW w:w="1134" w:type="dxa"/>
            <w:vAlign w:val="center"/>
          </w:tcPr>
          <w:p w14:paraId="343B4E45"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25%</w:t>
            </w:r>
          </w:p>
        </w:tc>
        <w:tc>
          <w:tcPr>
            <w:tcW w:w="2097" w:type="dxa"/>
            <w:vAlign w:val="center"/>
          </w:tcPr>
          <w:p w14:paraId="62366962"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 xml:space="preserve">During </w:t>
            </w:r>
            <w:hyperlink w:anchor="week8">
              <w:r w:rsidR="00C70A7F" w:rsidRPr="00B119AF">
                <w:rPr>
                  <w:rStyle w:val="Hyperlink"/>
                  <w:rFonts w:ascii="Garamond" w:hAnsi="Garamond"/>
                  <w:sz w:val="21"/>
                  <w:szCs w:val="21"/>
                </w:rPr>
                <w:t>Week 8</w:t>
              </w:r>
            </w:hyperlink>
            <w:r w:rsidRPr="00B119AF">
              <w:rPr>
                <w:rFonts w:ascii="Garamond" w:hAnsi="Garamond"/>
                <w:sz w:val="21"/>
                <w:szCs w:val="21"/>
              </w:rPr>
              <w:t>.</w:t>
            </w:r>
          </w:p>
        </w:tc>
      </w:tr>
      <w:tr w:rsidR="00C70A7F" w:rsidRPr="00B119AF" w14:paraId="195AF80C" w14:textId="77777777" w:rsidTr="00B119AF">
        <w:tc>
          <w:tcPr>
            <w:tcW w:w="1533" w:type="dxa"/>
            <w:vAlign w:val="center"/>
          </w:tcPr>
          <w:p w14:paraId="2AF6C81C"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Final Paper Proposal</w:t>
            </w:r>
          </w:p>
        </w:tc>
        <w:tc>
          <w:tcPr>
            <w:tcW w:w="4812" w:type="dxa"/>
          </w:tcPr>
          <w:p w14:paraId="5867AE3E" w14:textId="77777777" w:rsidR="00C70A7F" w:rsidRPr="00B119AF" w:rsidRDefault="00000000">
            <w:pPr>
              <w:pStyle w:val="Compact"/>
              <w:rPr>
                <w:rFonts w:ascii="Garamond" w:hAnsi="Garamond"/>
                <w:sz w:val="21"/>
                <w:szCs w:val="21"/>
              </w:rPr>
            </w:pPr>
            <w:r w:rsidRPr="00B119AF">
              <w:rPr>
                <w:rFonts w:ascii="Garamond" w:hAnsi="Garamond"/>
                <w:sz w:val="21"/>
                <w:szCs w:val="21"/>
              </w:rPr>
              <w:t xml:space="preserve">Students are required to submit a term paper on a topic of their choice, subject to my approval as the course instructor. Students must </w:t>
            </w:r>
            <w:hyperlink w:anchor="office-hours">
              <w:r w:rsidR="00C70A7F" w:rsidRPr="00B119AF">
                <w:rPr>
                  <w:rStyle w:val="Hyperlink"/>
                  <w:rFonts w:ascii="Garamond" w:hAnsi="Garamond"/>
                  <w:sz w:val="21"/>
                  <w:szCs w:val="21"/>
                </w:rPr>
                <w:t>meet with me during office hours</w:t>
              </w:r>
            </w:hyperlink>
            <w:r w:rsidRPr="00B119AF">
              <w:rPr>
                <w:rFonts w:ascii="Garamond" w:hAnsi="Garamond"/>
                <w:sz w:val="21"/>
                <w:szCs w:val="21"/>
              </w:rPr>
              <w:t xml:space="preserve"> to discuss their initial ideas for the paper. Topics must be related to the </w:t>
            </w:r>
            <w:r w:rsidRPr="00B119AF">
              <w:rPr>
                <w:rFonts w:ascii="Garamond" w:hAnsi="Garamond"/>
                <w:i/>
                <w:iCs/>
                <w:sz w:val="21"/>
                <w:szCs w:val="21"/>
              </w:rPr>
              <w:t>cultural incorporation of immigrants and their descendants</w:t>
            </w:r>
            <w:r w:rsidRPr="00B119AF">
              <w:rPr>
                <w:rFonts w:ascii="Garamond" w:hAnsi="Garamond"/>
                <w:sz w:val="21"/>
                <w:szCs w:val="21"/>
              </w:rPr>
              <w:t xml:space="preserve"> in any part of the world. To finalize the approval process, students must submit a </w:t>
            </w:r>
            <w:r w:rsidRPr="00B119AF">
              <w:rPr>
                <w:rFonts w:ascii="Garamond" w:hAnsi="Garamond"/>
                <w:b/>
                <w:bCs/>
                <w:sz w:val="21"/>
                <w:szCs w:val="21"/>
              </w:rPr>
              <w:t>brief (1–2 page) proposal</w:t>
            </w:r>
            <w:r w:rsidRPr="00B119AF">
              <w:rPr>
                <w:rFonts w:ascii="Garamond" w:hAnsi="Garamond"/>
                <w:sz w:val="21"/>
                <w:szCs w:val="21"/>
              </w:rPr>
              <w:t xml:space="preserve"> that outlines their selected topic, explains its relevance to the course, and highlights their provisional arguments.</w:t>
            </w:r>
          </w:p>
        </w:tc>
        <w:tc>
          <w:tcPr>
            <w:tcW w:w="1134" w:type="dxa"/>
            <w:vAlign w:val="center"/>
          </w:tcPr>
          <w:p w14:paraId="1C9452B9"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5%</w:t>
            </w:r>
          </w:p>
        </w:tc>
        <w:tc>
          <w:tcPr>
            <w:tcW w:w="2097" w:type="dxa"/>
            <w:vAlign w:val="center"/>
          </w:tcPr>
          <w:p w14:paraId="013640A7"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Friday, November 20that 8:00 PM.</w:t>
            </w:r>
          </w:p>
        </w:tc>
      </w:tr>
      <w:tr w:rsidR="00C70A7F" w:rsidRPr="00B119AF" w14:paraId="16A4B007" w14:textId="77777777" w:rsidTr="00B119AF">
        <w:tc>
          <w:tcPr>
            <w:tcW w:w="1533" w:type="dxa"/>
            <w:vAlign w:val="center"/>
          </w:tcPr>
          <w:p w14:paraId="51EAB2BC"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Final Paper Presentation</w:t>
            </w:r>
          </w:p>
        </w:tc>
        <w:tc>
          <w:tcPr>
            <w:tcW w:w="4812" w:type="dxa"/>
          </w:tcPr>
          <w:p w14:paraId="33D7BB7D" w14:textId="77777777" w:rsidR="00C70A7F" w:rsidRPr="00B119AF" w:rsidRDefault="00000000">
            <w:pPr>
              <w:pStyle w:val="Compact"/>
              <w:rPr>
                <w:rFonts w:ascii="Garamond" w:hAnsi="Garamond"/>
                <w:sz w:val="21"/>
                <w:szCs w:val="21"/>
              </w:rPr>
            </w:pPr>
            <w:r w:rsidRPr="00B119AF">
              <w:rPr>
                <w:rFonts w:ascii="Garamond" w:hAnsi="Garamond"/>
                <w:sz w:val="21"/>
                <w:szCs w:val="21"/>
              </w:rPr>
              <w:t xml:space="preserve">Students will deliver a </w:t>
            </w:r>
            <w:r w:rsidRPr="00B119AF">
              <w:rPr>
                <w:rFonts w:ascii="Garamond" w:hAnsi="Garamond"/>
                <w:b/>
                <w:bCs/>
                <w:sz w:val="21"/>
                <w:szCs w:val="21"/>
              </w:rPr>
              <w:t>5–7-minute presentation</w:t>
            </w:r>
            <w:r w:rsidRPr="00B119AF">
              <w:rPr>
                <w:rFonts w:ascii="Garamond" w:hAnsi="Garamond"/>
                <w:sz w:val="21"/>
                <w:szCs w:val="21"/>
              </w:rPr>
              <w:t xml:space="preserve"> based on, or informed by, their term paper. Guidelines detailing my basic expectations will be uploaded in the coming months.</w:t>
            </w:r>
          </w:p>
        </w:tc>
        <w:tc>
          <w:tcPr>
            <w:tcW w:w="1134" w:type="dxa"/>
            <w:vAlign w:val="center"/>
          </w:tcPr>
          <w:p w14:paraId="76407CD4"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10%</w:t>
            </w:r>
          </w:p>
        </w:tc>
        <w:tc>
          <w:tcPr>
            <w:tcW w:w="2097" w:type="dxa"/>
            <w:vAlign w:val="center"/>
          </w:tcPr>
          <w:p w14:paraId="2301C9BA"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 xml:space="preserve">During </w:t>
            </w:r>
            <w:hyperlink w:anchor="partiii">
              <w:r w:rsidR="00C70A7F" w:rsidRPr="00B119AF">
                <w:rPr>
                  <w:rStyle w:val="Hyperlink"/>
                  <w:rFonts w:ascii="Garamond" w:hAnsi="Garamond"/>
                  <w:sz w:val="21"/>
                  <w:szCs w:val="21"/>
                </w:rPr>
                <w:t>Part III</w:t>
              </w:r>
            </w:hyperlink>
            <w:r w:rsidRPr="00B119AF">
              <w:rPr>
                <w:rFonts w:ascii="Garamond" w:hAnsi="Garamond"/>
                <w:sz w:val="21"/>
                <w:szCs w:val="21"/>
              </w:rPr>
              <w:t xml:space="preserve"> of our class.</w:t>
            </w:r>
          </w:p>
        </w:tc>
      </w:tr>
      <w:tr w:rsidR="00C70A7F" w:rsidRPr="00B119AF" w14:paraId="17612A2E" w14:textId="77777777" w:rsidTr="00B119AF">
        <w:tc>
          <w:tcPr>
            <w:tcW w:w="1533" w:type="dxa"/>
            <w:vAlign w:val="center"/>
          </w:tcPr>
          <w:p w14:paraId="4701ACA6"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Final Paper</w:t>
            </w:r>
          </w:p>
        </w:tc>
        <w:tc>
          <w:tcPr>
            <w:tcW w:w="4812" w:type="dxa"/>
          </w:tcPr>
          <w:p w14:paraId="2649274F" w14:textId="77777777" w:rsidR="00C70A7F" w:rsidRPr="00B119AF" w:rsidRDefault="00000000">
            <w:pPr>
              <w:pStyle w:val="Compact"/>
              <w:rPr>
                <w:rFonts w:ascii="Garamond" w:hAnsi="Garamond"/>
                <w:sz w:val="21"/>
                <w:szCs w:val="21"/>
              </w:rPr>
            </w:pPr>
            <w:r w:rsidRPr="00B119AF">
              <w:rPr>
                <w:rFonts w:ascii="Garamond" w:hAnsi="Garamond"/>
                <w:sz w:val="21"/>
                <w:szCs w:val="21"/>
              </w:rPr>
              <w:t xml:space="preserve">As noted, your term paper must grapple with the </w:t>
            </w:r>
            <w:r w:rsidRPr="00B119AF">
              <w:rPr>
                <w:rFonts w:ascii="Garamond" w:hAnsi="Garamond"/>
                <w:b/>
                <w:bCs/>
                <w:sz w:val="21"/>
                <w:szCs w:val="21"/>
              </w:rPr>
              <w:t>cultural incorporation of immigrant-origin people</w:t>
            </w:r>
            <w:r w:rsidRPr="00B119AF">
              <w:rPr>
                <w:rFonts w:ascii="Garamond" w:hAnsi="Garamond"/>
                <w:sz w:val="21"/>
                <w:szCs w:val="21"/>
              </w:rPr>
              <w:t xml:space="preserve"> and be approved by me, the course instructor. Papers should be 8–12 pages long, double-spaced, and written in 12-point font. Other expectations will be posted later in the semester.</w:t>
            </w:r>
          </w:p>
        </w:tc>
        <w:tc>
          <w:tcPr>
            <w:tcW w:w="1134" w:type="dxa"/>
            <w:vAlign w:val="center"/>
          </w:tcPr>
          <w:p w14:paraId="5F75D4B8"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30%</w:t>
            </w:r>
          </w:p>
        </w:tc>
        <w:tc>
          <w:tcPr>
            <w:tcW w:w="2097" w:type="dxa"/>
            <w:vAlign w:val="center"/>
          </w:tcPr>
          <w:p w14:paraId="466E7A93" w14:textId="77777777" w:rsidR="00C70A7F" w:rsidRPr="00B119AF" w:rsidRDefault="00000000" w:rsidP="00B119AF">
            <w:pPr>
              <w:pStyle w:val="Compact"/>
              <w:jc w:val="center"/>
              <w:rPr>
                <w:rFonts w:ascii="Garamond" w:hAnsi="Garamond"/>
                <w:sz w:val="21"/>
                <w:szCs w:val="21"/>
              </w:rPr>
            </w:pPr>
            <w:r w:rsidRPr="00B119AF">
              <w:rPr>
                <w:rFonts w:ascii="Garamond" w:hAnsi="Garamond"/>
                <w:sz w:val="21"/>
                <w:szCs w:val="21"/>
              </w:rPr>
              <w:t>Deadline for CommentsMonday, December 14that 8:00 PMHard DeadlineFriday, December 18that 8:00 PM.</w:t>
            </w:r>
          </w:p>
        </w:tc>
      </w:tr>
    </w:tbl>
    <w:p w14:paraId="26692082" w14:textId="77777777" w:rsidR="00B119AF" w:rsidRDefault="00B119AF">
      <w:pPr>
        <w:pStyle w:val="Heading2"/>
        <w:rPr>
          <w:rFonts w:ascii="Garamond" w:hAnsi="Garamond"/>
        </w:rPr>
      </w:pPr>
      <w:bookmarkStart w:id="15" w:name="_Toc238577214"/>
      <w:bookmarkStart w:id="16" w:name="norms-rules-regulations"/>
      <w:bookmarkEnd w:id="12"/>
      <w:bookmarkEnd w:id="14"/>
    </w:p>
    <w:tbl>
      <w:tblPr>
        <w:tblStyle w:val="Table"/>
        <w:tblpPr w:leftFromText="180" w:rightFromText="180" w:vertAnchor="text" w:horzAnchor="margin" w:tblpY="183"/>
        <w:tblW w:w="0" w:type="auto"/>
        <w:tblBorders>
          <w:top w:val="single" w:sz="4" w:space="0" w:color="00A047"/>
          <w:left w:val="single" w:sz="24" w:space="0" w:color="00A047"/>
          <w:bottom w:val="single" w:sz="4" w:space="0" w:color="00A047"/>
          <w:right w:val="single" w:sz="4" w:space="0" w:color="00A047"/>
        </w:tblBorders>
        <w:tblCellMar>
          <w:left w:w="144" w:type="dxa"/>
          <w:right w:w="144" w:type="dxa"/>
        </w:tblCellMar>
        <w:tblLook w:val="0000" w:firstRow="0" w:lastRow="0" w:firstColumn="0" w:lastColumn="0" w:noHBand="0" w:noVBand="0"/>
      </w:tblPr>
      <w:tblGrid>
        <w:gridCol w:w="9030"/>
      </w:tblGrid>
      <w:tr w:rsidR="00B119AF" w:rsidRPr="00B119AF" w14:paraId="5BAE4099" w14:textId="77777777" w:rsidTr="00B119AF">
        <w:trPr>
          <w:cantSplit/>
        </w:trPr>
        <w:tc>
          <w:tcPr>
            <w:tcW w:w="0" w:type="auto"/>
            <w:shd w:val="clear" w:color="auto" w:fill="CCF1E3"/>
            <w:tcMar>
              <w:top w:w="92" w:type="dxa"/>
              <w:bottom w:w="92" w:type="dxa"/>
            </w:tcMar>
          </w:tcPr>
          <w:p w14:paraId="37C3555A" w14:textId="77777777" w:rsidR="00B119AF" w:rsidRPr="00B119AF" w:rsidRDefault="00B119AF" w:rsidP="00B119AF">
            <w:pPr>
              <w:pStyle w:val="BodyText"/>
              <w:spacing w:before="0" w:after="0"/>
              <w:textAlignment w:val="center"/>
              <w:rPr>
                <w:rFonts w:ascii="Garamond" w:hAnsi="Garamond"/>
              </w:rPr>
            </w:pPr>
            <w:r w:rsidRPr="00B119AF">
              <w:rPr>
                <w:rFonts w:ascii="Garamond" w:hAnsi="Garamond"/>
                <w:noProof/>
              </w:rPr>
              <w:drawing>
                <wp:inline distT="0" distB="0" distL="0" distR="0" wp14:anchorId="7CF441CF" wp14:editId="418D9032">
                  <wp:extent cx="152400" cy="15240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Applications/quarto/share/formats/docx/tip.png"/>
                          <pic:cNvPicPr>
                            <a:picLocks noChangeAspect="1" noChangeArrowheads="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Guidelines for Key Deliverables</w:t>
            </w:r>
          </w:p>
        </w:tc>
      </w:tr>
      <w:tr w:rsidR="00B119AF" w:rsidRPr="00B119AF" w14:paraId="2C1D5936" w14:textId="77777777" w:rsidTr="00B119AF">
        <w:trPr>
          <w:cantSplit/>
        </w:trPr>
        <w:tc>
          <w:tcPr>
            <w:tcW w:w="0" w:type="auto"/>
            <w:tcMar>
              <w:top w:w="108" w:type="dxa"/>
              <w:bottom w:w="108" w:type="dxa"/>
            </w:tcMar>
          </w:tcPr>
          <w:p w14:paraId="46F124CB" w14:textId="77777777" w:rsidR="00B119AF" w:rsidRPr="00B119AF" w:rsidRDefault="00B119AF" w:rsidP="00B119AF">
            <w:pPr>
              <w:pStyle w:val="BodyText"/>
              <w:spacing w:before="16" w:after="16"/>
              <w:rPr>
                <w:rFonts w:ascii="Garamond" w:hAnsi="Garamond"/>
              </w:rPr>
            </w:pPr>
            <w:r w:rsidRPr="00B119AF">
              <w:rPr>
                <w:rFonts w:ascii="Garamond" w:hAnsi="Garamond"/>
              </w:rPr>
              <w:t>Guidelines for key deliverables will be gradually uploaded online as deadlines come into focus.</w:t>
            </w:r>
          </w:p>
        </w:tc>
      </w:tr>
    </w:tbl>
    <w:p w14:paraId="485A969C" w14:textId="4248FE82" w:rsidR="00C70A7F" w:rsidRPr="00B119AF" w:rsidRDefault="00000000">
      <w:pPr>
        <w:pStyle w:val="Heading2"/>
        <w:rPr>
          <w:rFonts w:ascii="Garamond" w:hAnsi="Garamond"/>
        </w:rPr>
      </w:pPr>
      <w:r w:rsidRPr="00B119AF">
        <w:rPr>
          <w:rFonts w:ascii="Garamond" w:hAnsi="Garamond"/>
        </w:rPr>
        <w:lastRenderedPageBreak/>
        <w:t>Norms, Rules &amp; Regulations</w:t>
      </w:r>
      <w:bookmarkEnd w:id="15"/>
    </w:p>
    <w:p w14:paraId="5650C7CC" w14:textId="77777777" w:rsidR="00C70A7F" w:rsidRPr="00B119AF" w:rsidRDefault="00000000">
      <w:pPr>
        <w:pStyle w:val="Heading3"/>
        <w:rPr>
          <w:rFonts w:ascii="Garamond" w:hAnsi="Garamond"/>
        </w:rPr>
      </w:pPr>
      <w:bookmarkStart w:id="17" w:name="_Toc238577215"/>
      <w:r w:rsidRPr="00B119AF">
        <w:rPr>
          <w:rFonts w:ascii="Garamond" w:hAnsi="Garamond"/>
        </w:rPr>
        <w:t>Honor Code</w:t>
      </w:r>
      <w:bookmarkEnd w:id="17"/>
    </w:p>
    <w:p w14:paraId="740DB0E0" w14:textId="77777777" w:rsidR="00C70A7F" w:rsidRPr="00B119AF" w:rsidRDefault="00000000">
      <w:pPr>
        <w:pStyle w:val="FirstParagraph"/>
        <w:rPr>
          <w:rFonts w:ascii="Garamond" w:hAnsi="Garamond"/>
        </w:rPr>
      </w:pPr>
      <w:r w:rsidRPr="00B119AF">
        <w:rPr>
          <w:rFonts w:ascii="Garamond" w:hAnsi="Garamond"/>
        </w:rPr>
        <w:t xml:space="preserve">Please review the </w:t>
      </w:r>
      <w:r w:rsidRPr="00B119AF">
        <w:rPr>
          <w:rFonts w:ascii="Garamond" w:hAnsi="Garamond"/>
          <w:b/>
          <w:bCs/>
        </w:rPr>
        <w:t>Amherst College Honor Code</w:t>
      </w:r>
      <w:r w:rsidRPr="00B119AF">
        <w:rPr>
          <w:rFonts w:ascii="Garamond" w:hAnsi="Garamond"/>
        </w:rPr>
        <w:t xml:space="preserve">, which can be accessed </w:t>
      </w:r>
      <w:hyperlink r:id="rId11">
        <w:r w:rsidR="00C70A7F" w:rsidRPr="00B119AF">
          <w:rPr>
            <w:rStyle w:val="Hyperlink"/>
            <w:rFonts w:ascii="Garamond" w:hAnsi="Garamond"/>
          </w:rPr>
          <w:t>here</w:t>
        </w:r>
      </w:hyperlink>
      <w:r w:rsidRPr="00B119AF">
        <w:rPr>
          <w:rFonts w:ascii="Garamond" w:hAnsi="Garamond"/>
        </w:rPr>
        <w:t>.</w:t>
      </w:r>
    </w:p>
    <w:p w14:paraId="4C47846D" w14:textId="77777777" w:rsidR="00C70A7F" w:rsidRPr="00B119AF" w:rsidRDefault="00000000">
      <w:pPr>
        <w:pStyle w:val="BodyText"/>
        <w:rPr>
          <w:rFonts w:ascii="Garamond" w:hAnsi="Garamond"/>
        </w:rPr>
      </w:pPr>
      <w:r w:rsidRPr="00B119AF">
        <w:rPr>
          <w:rFonts w:ascii="Garamond" w:hAnsi="Garamond"/>
        </w:rPr>
        <w:t xml:space="preserve">Violations of the </w:t>
      </w:r>
      <w:r w:rsidRPr="00B119AF">
        <w:rPr>
          <w:rFonts w:ascii="Garamond" w:hAnsi="Garamond"/>
          <w:i/>
          <w:iCs/>
        </w:rPr>
        <w:t>Honor Code</w:t>
      </w:r>
      <w:r w:rsidRPr="00B119AF">
        <w:rPr>
          <w:rFonts w:ascii="Garamond" w:hAnsi="Garamond"/>
        </w:rPr>
        <w:t xml:space="preserve"> will be promptly reported to the Dean of Students. As Section 1.1 of the </w:t>
      </w:r>
      <w:r w:rsidRPr="00B119AF">
        <w:rPr>
          <w:rFonts w:ascii="Garamond" w:hAnsi="Garamond"/>
          <w:i/>
          <w:iCs/>
        </w:rPr>
        <w:t>Honor Code</w:t>
      </w:r>
      <w:r w:rsidRPr="00B119AF">
        <w:rPr>
          <w:rFonts w:ascii="Garamond" w:hAnsi="Garamond"/>
        </w:rPr>
        <w:t xml:space="preserve"> indicates, plagiarism is a serious offense. In most cases, students who plagiarize the work of others will fail this class and may face additional disciplinary penalties. Moreover, as detailed in Sections 1.2 to 1.4 of the </w:t>
      </w:r>
      <w:r w:rsidRPr="00B119AF">
        <w:rPr>
          <w:rFonts w:ascii="Garamond" w:hAnsi="Garamond"/>
          <w:i/>
          <w:iCs/>
        </w:rPr>
        <w:t>Honor Code</w:t>
      </w:r>
      <w:r w:rsidRPr="00B119AF">
        <w:rPr>
          <w:rFonts w:ascii="Garamond" w:hAnsi="Garamond"/>
        </w:rPr>
        <w:t>, students must respect others in the classroom, including those whose views deviate from their own. Failure to do so will prompt disciplinary action.</w:t>
      </w:r>
    </w:p>
    <w:p w14:paraId="6EB01798" w14:textId="77777777" w:rsidR="00C70A7F" w:rsidRPr="00B119AF" w:rsidRDefault="00000000">
      <w:pPr>
        <w:pStyle w:val="Heading3"/>
        <w:rPr>
          <w:rFonts w:ascii="Garamond" w:hAnsi="Garamond"/>
        </w:rPr>
      </w:pPr>
      <w:bookmarkStart w:id="18" w:name="_Toc238577216"/>
      <w:r w:rsidRPr="00B119AF">
        <w:rPr>
          <w:rFonts w:ascii="Garamond" w:hAnsi="Garamond"/>
        </w:rPr>
        <w:t>AI Policy</w:t>
      </w:r>
      <w:bookmarkEnd w:id="18"/>
    </w:p>
    <w:p w14:paraId="748625CA" w14:textId="77777777" w:rsidR="00C70A7F" w:rsidRPr="00B119AF" w:rsidRDefault="00000000">
      <w:pPr>
        <w:pStyle w:val="FirstParagraph"/>
        <w:rPr>
          <w:rFonts w:ascii="Garamond" w:hAnsi="Garamond"/>
        </w:rPr>
      </w:pPr>
      <w:r w:rsidRPr="00B119AF">
        <w:rPr>
          <w:rFonts w:ascii="Garamond" w:hAnsi="Garamond"/>
          <w:i/>
          <w:iCs/>
        </w:rPr>
        <w:t>Generative artificial intelligence</w:t>
      </w:r>
      <w:r w:rsidRPr="00B119AF">
        <w:rPr>
          <w:rFonts w:ascii="Garamond" w:hAnsi="Garamond"/>
        </w:rPr>
        <w:t xml:space="preserve"> (GAI) tools are proliferating. At colleges and universities, chatbots like ChatGPT, Claude, and Gemini are increasingly used by students and researchers alike. This represents a profound ethical quandary, with some speculating that our reliance on AI will produce an epistemic crisis that deepens sectarian conflict, impoverishes democratic institutions, and accelerates environmental degradation. Others argue this view is naively alarmist—a kind of reactionary aversion to change that inevitably emerges in the fog of technological revolutions that destabilize our taken-for-granted assumptions about how the world works. I have my own opinions,</w:t>
      </w:r>
      <w:r w:rsidRPr="00B119AF">
        <w:rPr>
          <w:rStyle w:val="FootnoteReference"/>
          <w:rFonts w:ascii="Garamond" w:hAnsi="Garamond"/>
        </w:rPr>
        <w:footnoteReference w:id="2"/>
      </w:r>
      <w:r w:rsidRPr="00B119AF">
        <w:rPr>
          <w:rFonts w:ascii="Garamond" w:hAnsi="Garamond"/>
        </w:rPr>
        <w:t xml:space="preserve"> and you are free to have yours.</w:t>
      </w:r>
    </w:p>
    <w:p w14:paraId="5FF19750" w14:textId="77777777" w:rsidR="00B119AF" w:rsidRDefault="00000000">
      <w:pPr>
        <w:pStyle w:val="BodyText"/>
        <w:rPr>
          <w:rFonts w:ascii="Garamond" w:hAnsi="Garamond"/>
        </w:rPr>
      </w:pPr>
      <w:r w:rsidRPr="00B119AF">
        <w:rPr>
          <w:rFonts w:ascii="Garamond" w:hAnsi="Garamond"/>
        </w:rPr>
        <w:t xml:space="preserve">Whatever your orientation towards AI, we must acknowledge that the floodgates have opened. GAI tools are everywhere and thus difficult to avoid. The College has even </w:t>
      </w:r>
      <w:hyperlink r:id="rId12">
        <w:r w:rsidR="00B119AF" w:rsidRPr="00B119AF">
          <w:rPr>
            <w:rStyle w:val="Hyperlink"/>
            <w:rFonts w:ascii="Garamond" w:hAnsi="Garamond"/>
          </w:rPr>
          <w:t>provided access</w:t>
        </w:r>
      </w:hyperlink>
      <w:r w:rsidRPr="00B119AF">
        <w:rPr>
          <w:rFonts w:ascii="Garamond" w:hAnsi="Garamond"/>
        </w:rPr>
        <w:t xml:space="preserve"> to Gemini and Notebook LM to all students, faculty, and staff. Consequently, you are free to use ChatGPT and its analogues for class assignments, but you must </w:t>
      </w:r>
      <w:r w:rsidRPr="00B119AF">
        <w:rPr>
          <w:rFonts w:ascii="Garamond" w:hAnsi="Garamond"/>
          <w:b/>
          <w:bCs/>
        </w:rPr>
        <w:t>cite</w:t>
      </w:r>
      <w:r w:rsidRPr="00B119AF">
        <w:rPr>
          <w:rFonts w:ascii="Garamond" w:hAnsi="Garamond"/>
        </w:rPr>
        <w:t xml:space="preserve"> the GAI you are using. </w:t>
      </w:r>
    </w:p>
    <w:p w14:paraId="5964B516" w14:textId="6EE19A83" w:rsidR="00C70A7F" w:rsidRPr="00B119AF" w:rsidRDefault="00000000" w:rsidP="00B119AF">
      <w:pPr>
        <w:pStyle w:val="BodyText"/>
        <w:jc w:val="center"/>
        <w:rPr>
          <w:rFonts w:ascii="Garamond" w:hAnsi="Garamond"/>
        </w:rPr>
      </w:pPr>
      <w:r w:rsidRPr="00B119AF">
        <w:rPr>
          <w:rFonts w:ascii="Garamond" w:hAnsi="Garamond"/>
        </w:rPr>
        <w:t xml:space="preserve">Failure to do so is </w:t>
      </w:r>
      <w:r w:rsidRPr="00B119AF">
        <w:rPr>
          <w:rFonts w:ascii="Garamond" w:hAnsi="Garamond"/>
          <w:b/>
          <w:bCs/>
        </w:rPr>
        <w:t>plagiarism</w:t>
      </w:r>
      <w:r w:rsidRPr="00B119AF">
        <w:rPr>
          <w:rFonts w:ascii="Garamond" w:hAnsi="Garamond"/>
        </w:rPr>
        <w:t>.</w:t>
      </w:r>
    </w:p>
    <w:p w14:paraId="0783ECD4" w14:textId="77777777" w:rsidR="00C70A7F" w:rsidRPr="00B119AF" w:rsidRDefault="00000000" w:rsidP="00B119AF">
      <w:pPr>
        <w:pStyle w:val="BodyText"/>
        <w:jc w:val="center"/>
        <w:rPr>
          <w:rFonts w:ascii="Garamond" w:hAnsi="Garamond"/>
        </w:rPr>
      </w:pPr>
      <w:r w:rsidRPr="00B119AF">
        <w:rPr>
          <w:rFonts w:ascii="Garamond" w:hAnsi="Garamond"/>
          <w:i/>
          <w:iCs/>
        </w:rPr>
        <w:t>To reiterate</w:t>
      </w:r>
      <w:r w:rsidRPr="00B119AF">
        <w:rPr>
          <w:rFonts w:ascii="Garamond" w:hAnsi="Garamond"/>
        </w:rPr>
        <w:t>:</w:t>
      </w:r>
    </w:p>
    <w:tbl>
      <w:tblPr>
        <w:tblStyle w:val="Table"/>
        <w:tblW w:w="0" w:type="auto"/>
        <w:tblInd w:w="253" w:type="dxa"/>
        <w:tblBorders>
          <w:top w:val="single" w:sz="4" w:space="0" w:color="CC1914"/>
          <w:left w:val="single" w:sz="24" w:space="0" w:color="CC1914"/>
          <w:bottom w:val="single" w:sz="4" w:space="0" w:color="CC1914"/>
          <w:right w:val="single" w:sz="4" w:space="0" w:color="CC1914"/>
        </w:tblBorders>
        <w:tblCellMar>
          <w:left w:w="144" w:type="dxa"/>
          <w:right w:w="144" w:type="dxa"/>
        </w:tblCellMar>
        <w:tblLook w:val="0000" w:firstRow="0" w:lastRow="0" w:firstColumn="0" w:lastColumn="0" w:noHBand="0" w:noVBand="0"/>
      </w:tblPr>
      <w:tblGrid>
        <w:gridCol w:w="8837"/>
      </w:tblGrid>
      <w:tr w:rsidR="00C70A7F" w:rsidRPr="00B119AF" w14:paraId="75BC225D" w14:textId="77777777" w:rsidTr="00B119AF">
        <w:trPr>
          <w:cantSplit/>
        </w:trPr>
        <w:tc>
          <w:tcPr>
            <w:tcW w:w="0" w:type="auto"/>
            <w:shd w:val="clear" w:color="auto" w:fill="F7DDDC"/>
            <w:tcMar>
              <w:top w:w="92" w:type="dxa"/>
              <w:bottom w:w="92" w:type="dxa"/>
            </w:tcMar>
          </w:tcPr>
          <w:p w14:paraId="6B2140B4" w14:textId="77777777" w:rsidR="00C70A7F" w:rsidRPr="00B119AF" w:rsidRDefault="00000000">
            <w:pPr>
              <w:pStyle w:val="BodyText"/>
              <w:spacing w:before="0" w:after="0"/>
              <w:textAlignment w:val="center"/>
              <w:rPr>
                <w:rFonts w:ascii="Garamond" w:hAnsi="Garamond"/>
              </w:rPr>
            </w:pPr>
            <w:r w:rsidRPr="00B119AF">
              <w:rPr>
                <w:rFonts w:ascii="Garamond" w:hAnsi="Garamond"/>
                <w:noProof/>
              </w:rPr>
              <w:drawing>
                <wp:inline distT="0" distB="0" distL="0" distR="0" wp14:anchorId="77293CF2" wp14:editId="041409C0">
                  <wp:extent cx="152400" cy="152400"/>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Applications/quarto/share/formats/docx/important.png"/>
                          <pic:cNvPicPr>
                            <a:picLocks noChangeAspect="1" noChangeArrowheads="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Generative AI Policy</w:t>
            </w:r>
          </w:p>
        </w:tc>
      </w:tr>
      <w:tr w:rsidR="00C70A7F" w:rsidRPr="00B119AF" w14:paraId="38014679" w14:textId="77777777" w:rsidTr="00B119AF">
        <w:trPr>
          <w:cantSplit/>
        </w:trPr>
        <w:tc>
          <w:tcPr>
            <w:tcW w:w="0" w:type="auto"/>
            <w:tcMar>
              <w:top w:w="108" w:type="dxa"/>
              <w:bottom w:w="108" w:type="dxa"/>
            </w:tcMar>
          </w:tcPr>
          <w:p w14:paraId="2449A30F" w14:textId="427A1366" w:rsidR="00C70A7F" w:rsidRPr="00B119AF" w:rsidRDefault="00000000" w:rsidP="00B119AF">
            <w:pPr>
              <w:pStyle w:val="BodyText"/>
              <w:spacing w:before="16" w:after="16"/>
              <w:rPr>
                <w:rFonts w:ascii="Garamond" w:hAnsi="Garamond"/>
              </w:rPr>
            </w:pPr>
            <w:r w:rsidRPr="00B119AF">
              <w:rPr>
                <w:rFonts w:ascii="Garamond" w:hAnsi="Garamond"/>
              </w:rPr>
              <w:t>If you use a GAI tool (like ChatGPT or Claude) and do not cite it, it is a form of plagiarism.</w:t>
            </w:r>
          </w:p>
        </w:tc>
      </w:tr>
    </w:tbl>
    <w:p w14:paraId="23F96980" w14:textId="77777777" w:rsidR="00C70A7F" w:rsidRPr="00B119AF" w:rsidRDefault="00000000">
      <w:pPr>
        <w:pStyle w:val="Heading3"/>
        <w:rPr>
          <w:rFonts w:ascii="Garamond" w:hAnsi="Garamond"/>
        </w:rPr>
      </w:pPr>
      <w:bookmarkStart w:id="19" w:name="_Toc238577217"/>
      <w:r w:rsidRPr="00B119AF">
        <w:rPr>
          <w:rFonts w:ascii="Garamond" w:hAnsi="Garamond"/>
        </w:rPr>
        <w:t>Attendance</w:t>
      </w:r>
      <w:bookmarkEnd w:id="19"/>
    </w:p>
    <w:p w14:paraId="3251094D" w14:textId="77777777" w:rsidR="00C70A7F" w:rsidRPr="00B119AF" w:rsidRDefault="00000000">
      <w:pPr>
        <w:pStyle w:val="FirstParagraph"/>
        <w:rPr>
          <w:rFonts w:ascii="Garamond" w:hAnsi="Garamond"/>
        </w:rPr>
      </w:pPr>
      <w:r w:rsidRPr="00B119AF">
        <w:rPr>
          <w:rFonts w:ascii="Garamond" w:hAnsi="Garamond"/>
        </w:rPr>
        <w:t xml:space="preserve">You are expected to attend each and every class. </w:t>
      </w:r>
      <w:r w:rsidRPr="00B119AF">
        <w:rPr>
          <w:rFonts w:ascii="Garamond" w:hAnsi="Garamond"/>
          <w:b/>
          <w:bCs/>
        </w:rPr>
        <w:t>If you do not, you will lose points for participation</w:t>
      </w:r>
      <w:r w:rsidRPr="00B119AF">
        <w:rPr>
          <w:rFonts w:ascii="Garamond" w:hAnsi="Garamond"/>
        </w:rPr>
        <w:t>. That said, I am aware that you are all human beings whose lives are often fraught with uncertainty. If something comes up, please let me know and I will do my best to be as accommodating as possible. Extended absences may, however, require additional documentation (e.g., note from a physician).</w:t>
      </w:r>
    </w:p>
    <w:p w14:paraId="69DE927B" w14:textId="77777777" w:rsidR="00C70A7F" w:rsidRPr="00B119AF" w:rsidRDefault="00000000">
      <w:pPr>
        <w:pStyle w:val="Heading3"/>
        <w:rPr>
          <w:rFonts w:ascii="Garamond" w:hAnsi="Garamond"/>
        </w:rPr>
      </w:pPr>
      <w:bookmarkStart w:id="20" w:name="_Toc238577218"/>
      <w:r w:rsidRPr="00B119AF">
        <w:rPr>
          <w:rFonts w:ascii="Garamond" w:hAnsi="Garamond"/>
        </w:rPr>
        <w:lastRenderedPageBreak/>
        <w:t>Electronics</w:t>
      </w:r>
      <w:bookmarkEnd w:id="20"/>
    </w:p>
    <w:p w14:paraId="1AA66BC7" w14:textId="77777777" w:rsidR="00C70A7F" w:rsidRPr="00B119AF" w:rsidRDefault="00000000">
      <w:pPr>
        <w:pStyle w:val="FirstParagraph"/>
        <w:rPr>
          <w:rFonts w:ascii="Garamond" w:hAnsi="Garamond"/>
        </w:rPr>
      </w:pPr>
      <w:r w:rsidRPr="00B119AF">
        <w:rPr>
          <w:rFonts w:ascii="Garamond" w:hAnsi="Garamond"/>
        </w:rPr>
        <w:t>Provisionally, I have decided to allow students to use laptops and tablets in class. This is, however, highly conditional. If I observe students using their electronic devices for non-academic pursuits (e.g., shopping, consuming social media and so on), I will institute a sweeping ban on electronics.</w:t>
      </w:r>
    </w:p>
    <w:p w14:paraId="7D8164C4" w14:textId="77777777" w:rsidR="00C70A7F" w:rsidRPr="00B119AF" w:rsidRDefault="00000000" w:rsidP="00B119AF">
      <w:pPr>
        <w:pStyle w:val="BodyText"/>
        <w:jc w:val="center"/>
        <w:rPr>
          <w:rFonts w:ascii="Garamond" w:hAnsi="Garamond"/>
        </w:rPr>
      </w:pPr>
      <w:r w:rsidRPr="00B119AF">
        <w:rPr>
          <w:rFonts w:ascii="Garamond" w:hAnsi="Garamond"/>
          <w:b/>
          <w:bCs/>
        </w:rPr>
        <w:t>Do not be the one to contravene our social contract</w:t>
      </w:r>
      <w:r w:rsidRPr="00B119AF">
        <w:rPr>
          <w:rFonts w:ascii="Garamond" w:hAnsi="Garamond"/>
        </w:rPr>
        <w:t>.</w:t>
      </w:r>
    </w:p>
    <w:p w14:paraId="6803AB3C" w14:textId="77777777" w:rsidR="00C70A7F" w:rsidRPr="00B119AF" w:rsidRDefault="00000000">
      <w:pPr>
        <w:pStyle w:val="Heading3"/>
        <w:rPr>
          <w:rFonts w:ascii="Garamond" w:hAnsi="Garamond"/>
        </w:rPr>
      </w:pPr>
      <w:bookmarkStart w:id="21" w:name="_Toc238577219"/>
      <w:r w:rsidRPr="00B119AF">
        <w:rPr>
          <w:rFonts w:ascii="Garamond" w:hAnsi="Garamond"/>
        </w:rPr>
        <w:t>Email</w:t>
      </w:r>
      <w:bookmarkEnd w:id="21"/>
    </w:p>
    <w:p w14:paraId="6FCD1C8C" w14:textId="77777777" w:rsidR="00C70A7F" w:rsidRPr="00B119AF" w:rsidRDefault="00000000">
      <w:pPr>
        <w:pStyle w:val="FirstParagraph"/>
        <w:rPr>
          <w:rFonts w:ascii="Garamond" w:hAnsi="Garamond"/>
        </w:rPr>
      </w:pPr>
      <w:r w:rsidRPr="00B119AF">
        <w:rPr>
          <w:rFonts w:ascii="Garamond" w:hAnsi="Garamond"/>
        </w:rPr>
        <w:t>On weekdays, I will respond to emails within two days. If I fail to meet this standard, please send me a follow-up message with a gentle reminder. On weekends</w:t>
      </w:r>
      <w:r w:rsidRPr="00B119AF">
        <w:rPr>
          <w:rStyle w:val="FootnoteReference"/>
          <w:rFonts w:ascii="Garamond" w:hAnsi="Garamond"/>
        </w:rPr>
        <w:footnoteReference w:id="3"/>
      </w:r>
      <w:r w:rsidRPr="00B119AF">
        <w:rPr>
          <w:rFonts w:ascii="Garamond" w:hAnsi="Garamond"/>
        </w:rPr>
        <w:t xml:space="preserve"> and breaks, I will </w:t>
      </w:r>
      <w:r w:rsidRPr="00B119AF">
        <w:rPr>
          <w:rFonts w:ascii="Garamond" w:hAnsi="Garamond"/>
          <w:i/>
          <w:iCs/>
        </w:rPr>
        <w:t>not</w:t>
      </w:r>
      <w:r w:rsidRPr="00B119AF">
        <w:rPr>
          <w:rFonts w:ascii="Garamond" w:hAnsi="Garamond"/>
        </w:rPr>
        <w:t xml:space="preserve"> respond to emails unless you have an emergency. If you do, please remember to include </w:t>
      </w:r>
      <w:r w:rsidRPr="00B119AF">
        <w:rPr>
          <w:rFonts w:ascii="Garamond" w:hAnsi="Garamond"/>
          <w:b/>
          <w:bCs/>
        </w:rPr>
        <w:t>EMERGENCY</w:t>
      </w:r>
      <w:r w:rsidRPr="00B119AF">
        <w:rPr>
          <w:rFonts w:ascii="Garamond" w:hAnsi="Garamond"/>
        </w:rPr>
        <w:t xml:space="preserve"> in the subject line.</w:t>
      </w:r>
    </w:p>
    <w:p w14:paraId="2ACD1B73" w14:textId="77777777" w:rsidR="00C70A7F" w:rsidRPr="00B119AF" w:rsidRDefault="00000000">
      <w:pPr>
        <w:pStyle w:val="Heading3"/>
        <w:rPr>
          <w:rFonts w:ascii="Garamond" w:hAnsi="Garamond"/>
        </w:rPr>
      </w:pPr>
      <w:bookmarkStart w:id="22" w:name="_Toc238577220"/>
      <w:r w:rsidRPr="00B119AF">
        <w:rPr>
          <w:rFonts w:ascii="Garamond" w:hAnsi="Garamond"/>
        </w:rPr>
        <w:t>Late Penalties</w:t>
      </w:r>
      <w:bookmarkEnd w:id="22"/>
    </w:p>
    <w:p w14:paraId="19A2D688" w14:textId="77777777" w:rsidR="00C70A7F" w:rsidRPr="00B119AF" w:rsidRDefault="00000000">
      <w:pPr>
        <w:pStyle w:val="FirstParagraph"/>
        <w:rPr>
          <w:rFonts w:ascii="Garamond" w:hAnsi="Garamond"/>
        </w:rPr>
      </w:pPr>
      <w:r w:rsidRPr="00B119AF">
        <w:rPr>
          <w:rFonts w:ascii="Garamond" w:hAnsi="Garamond"/>
        </w:rPr>
        <w:t xml:space="preserve">Assignments must be submitted on time. </w:t>
      </w:r>
      <w:r w:rsidRPr="00B119AF">
        <w:rPr>
          <w:rFonts w:ascii="Garamond" w:hAnsi="Garamond"/>
          <w:b/>
          <w:bCs/>
        </w:rPr>
        <w:t>A late submission will result in a penalty of 5% for each day beyond the deadline</w:t>
      </w:r>
      <w:r w:rsidRPr="00B119AF">
        <w:rPr>
          <w:rFonts w:ascii="Garamond" w:hAnsi="Garamond"/>
        </w:rPr>
        <w:t>.</w:t>
      </w:r>
      <w:r w:rsidRPr="00B119AF">
        <w:rPr>
          <w:rStyle w:val="FootnoteReference"/>
          <w:rFonts w:ascii="Garamond" w:hAnsi="Garamond"/>
        </w:rPr>
        <w:footnoteReference w:id="4"/>
      </w:r>
      <w:r w:rsidRPr="00B119AF">
        <w:rPr>
          <w:rFonts w:ascii="Garamond" w:hAnsi="Garamond"/>
        </w:rPr>
        <w:t xml:space="preserve"> However, as noted, I am well aware that life can present unexpected challenges. If you anticipate missing a deadline or have an emergency, please let me know soon as you can. Extensions may be granted on a case-by-case basis.</w:t>
      </w:r>
    </w:p>
    <w:p w14:paraId="170CEB63" w14:textId="77777777" w:rsidR="00C70A7F" w:rsidRPr="00B119AF" w:rsidRDefault="00000000">
      <w:pPr>
        <w:pStyle w:val="Heading2"/>
        <w:rPr>
          <w:rFonts w:ascii="Garamond" w:hAnsi="Garamond"/>
        </w:rPr>
      </w:pPr>
      <w:bookmarkStart w:id="23" w:name="_Toc238577221"/>
      <w:bookmarkStart w:id="24" w:name="office-hours"/>
      <w:bookmarkEnd w:id="16"/>
      <w:r w:rsidRPr="00B119AF">
        <w:rPr>
          <w:rFonts w:ascii="Garamond" w:hAnsi="Garamond"/>
        </w:rPr>
        <w:t>A Note On Office Hours</w:t>
      </w:r>
      <w:bookmarkEnd w:id="23"/>
    </w:p>
    <w:p w14:paraId="65AEEF7B" w14:textId="70FA3802" w:rsidR="00C70A7F" w:rsidRPr="00B119AF" w:rsidRDefault="00000000">
      <w:pPr>
        <w:pStyle w:val="FirstParagraph"/>
        <w:rPr>
          <w:rFonts w:ascii="Garamond" w:hAnsi="Garamond"/>
        </w:rPr>
      </w:pPr>
      <w:r w:rsidRPr="00B119AF">
        <w:rPr>
          <w:rFonts w:ascii="Garamond" w:hAnsi="Garamond"/>
        </w:rPr>
        <w:t xml:space="preserve">I will hold my in-person office hours on </w:t>
      </w:r>
      <w:r w:rsidRPr="00B119AF">
        <w:rPr>
          <w:rFonts w:ascii="Garamond" w:hAnsi="Garamond"/>
          <w:b/>
          <w:bCs/>
        </w:rPr>
        <w:t>Fridays</w:t>
      </w:r>
      <w:r w:rsidRPr="00B119AF">
        <w:rPr>
          <w:rFonts w:ascii="Garamond" w:hAnsi="Garamond"/>
        </w:rPr>
        <w:t xml:space="preserve"> fro</w:t>
      </w:r>
      <w:r w:rsidR="00124C2F">
        <w:rPr>
          <w:rFonts w:ascii="Garamond" w:hAnsi="Garamond"/>
        </w:rPr>
        <w:t>m</w:t>
      </w:r>
      <w:r w:rsidRPr="00B119AF">
        <w:rPr>
          <w:rFonts w:ascii="Garamond" w:hAnsi="Garamond"/>
          <w:b/>
          <w:bCs/>
        </w:rPr>
        <w:t xml:space="preserve"> </w:t>
      </w:r>
      <w:r w:rsidR="00124C2F">
        <w:rPr>
          <w:rFonts w:ascii="Garamond" w:hAnsi="Garamond"/>
          <w:b/>
          <w:bCs/>
        </w:rPr>
        <w:t>12:30</w:t>
      </w:r>
      <w:r w:rsidRPr="00B119AF">
        <w:rPr>
          <w:rFonts w:ascii="Garamond" w:hAnsi="Garamond"/>
          <w:b/>
          <w:bCs/>
        </w:rPr>
        <w:t xml:space="preserve"> to </w:t>
      </w:r>
      <w:r w:rsidR="00902E8C">
        <w:rPr>
          <w:rFonts w:ascii="Garamond" w:hAnsi="Garamond"/>
          <w:b/>
          <w:bCs/>
        </w:rPr>
        <w:t>2:30 PM</w:t>
      </w:r>
      <w:r w:rsidRPr="00B119AF">
        <w:rPr>
          <w:rFonts w:ascii="Garamond" w:hAnsi="Garamond"/>
        </w:rPr>
        <w:t xml:space="preserve"> in Morgan Hall (Room 306), although students can also schedule meetings during an </w:t>
      </w:r>
      <w:hyperlink r:id="rId14">
        <w:r w:rsidR="00C70A7F" w:rsidRPr="00B119AF">
          <w:rPr>
            <w:rStyle w:val="Hyperlink"/>
            <w:rFonts w:ascii="Garamond" w:hAnsi="Garamond"/>
            <w:i/>
            <w:iCs/>
          </w:rPr>
          <w:t>Open Meeting Slot</w:t>
        </w:r>
      </w:hyperlink>
      <w:r w:rsidRPr="00B119AF">
        <w:rPr>
          <w:rFonts w:ascii="Garamond" w:hAnsi="Garamond"/>
        </w:rPr>
        <w:t>.</w:t>
      </w:r>
      <w:r w:rsidRPr="00B119AF">
        <w:rPr>
          <w:rStyle w:val="FootnoteReference"/>
          <w:rFonts w:ascii="Garamond" w:hAnsi="Garamond"/>
        </w:rPr>
        <w:footnoteReference w:id="5"/>
      </w:r>
      <w:r w:rsidRPr="00B119AF">
        <w:rPr>
          <w:rFonts w:ascii="Garamond" w:hAnsi="Garamond"/>
        </w:rPr>
        <w:t xml:space="preserve"> All meetings—even during office hours—</w:t>
      </w:r>
      <w:r w:rsidRPr="00B119AF">
        <w:rPr>
          <w:rFonts w:ascii="Garamond" w:hAnsi="Garamond"/>
          <w:i/>
          <w:iCs/>
        </w:rPr>
        <w:t>must</w:t>
      </w:r>
      <w:r w:rsidRPr="00B119AF">
        <w:rPr>
          <w:rFonts w:ascii="Garamond" w:hAnsi="Garamond"/>
        </w:rPr>
        <w:t xml:space="preserve"> be scheduled in advance via </w:t>
      </w:r>
      <w:hyperlink r:id="rId15">
        <w:r w:rsidR="00C70A7F" w:rsidRPr="00B119AF">
          <w:rPr>
            <w:rStyle w:val="Hyperlink"/>
            <w:rFonts w:ascii="Garamond" w:hAnsi="Garamond"/>
          </w:rPr>
          <w:t>Google Calendar</w:t>
        </w:r>
      </w:hyperlink>
      <w:r w:rsidRPr="00B119AF">
        <w:rPr>
          <w:rFonts w:ascii="Garamond" w:hAnsi="Garamond"/>
        </w:rPr>
        <w:t>.</w:t>
      </w:r>
    </w:p>
    <w:p w14:paraId="03263C92" w14:textId="77777777" w:rsidR="00C70A7F" w:rsidRPr="00B119AF" w:rsidRDefault="00000000" w:rsidP="00B119AF">
      <w:pPr>
        <w:pStyle w:val="BodyText"/>
        <w:jc w:val="center"/>
        <w:rPr>
          <w:rFonts w:ascii="Garamond" w:hAnsi="Garamond"/>
        </w:rPr>
      </w:pPr>
      <w:r w:rsidRPr="00B119AF">
        <w:rPr>
          <w:rFonts w:ascii="Garamond" w:hAnsi="Garamond"/>
          <w:i/>
          <w:iCs/>
        </w:rPr>
        <w:t>To reiterate</w:t>
      </w:r>
      <w:r w:rsidRPr="00B119AF">
        <w:rPr>
          <w:rFonts w:ascii="Garamond" w:hAnsi="Garamond"/>
        </w:rPr>
        <w:t>:</w:t>
      </w:r>
    </w:p>
    <w:tbl>
      <w:tblPr>
        <w:tblStyle w:val="Table"/>
        <w:tblW w:w="0" w:type="auto"/>
        <w:tblInd w:w="567" w:type="dxa"/>
        <w:tblBorders>
          <w:top w:val="single" w:sz="4" w:space="0" w:color="EB9113"/>
          <w:left w:val="single" w:sz="24" w:space="0" w:color="EB9113"/>
          <w:bottom w:val="single" w:sz="4" w:space="0" w:color="EB9113"/>
          <w:right w:val="single" w:sz="4" w:space="0" w:color="EB9113"/>
        </w:tblBorders>
        <w:tblCellMar>
          <w:left w:w="144" w:type="dxa"/>
          <w:right w:w="144" w:type="dxa"/>
        </w:tblCellMar>
        <w:tblLook w:val="0000" w:firstRow="0" w:lastRow="0" w:firstColumn="0" w:lastColumn="0" w:noHBand="0" w:noVBand="0"/>
      </w:tblPr>
      <w:tblGrid>
        <w:gridCol w:w="8205"/>
      </w:tblGrid>
      <w:tr w:rsidR="00C70A7F" w:rsidRPr="00B119AF" w14:paraId="0F5880DF" w14:textId="77777777" w:rsidTr="00B119AF">
        <w:trPr>
          <w:cantSplit/>
        </w:trPr>
        <w:tc>
          <w:tcPr>
            <w:tcW w:w="0" w:type="auto"/>
            <w:shd w:val="clear" w:color="auto" w:fill="FCEFDC"/>
            <w:tcMar>
              <w:top w:w="92" w:type="dxa"/>
              <w:bottom w:w="92" w:type="dxa"/>
            </w:tcMar>
          </w:tcPr>
          <w:p w14:paraId="6CEE5C51" w14:textId="77777777" w:rsidR="00C70A7F" w:rsidRPr="00B119AF" w:rsidRDefault="00000000">
            <w:pPr>
              <w:pStyle w:val="BodyText"/>
              <w:spacing w:before="0" w:after="0"/>
              <w:textAlignment w:val="center"/>
              <w:rPr>
                <w:rFonts w:ascii="Garamond" w:hAnsi="Garamond"/>
              </w:rPr>
            </w:pPr>
            <w:r w:rsidRPr="00B119AF">
              <w:rPr>
                <w:rFonts w:ascii="Garamond" w:hAnsi="Garamond"/>
                <w:noProof/>
              </w:rPr>
              <w:drawing>
                <wp:inline distT="0" distB="0" distL="0" distR="0" wp14:anchorId="0FC6CB91" wp14:editId="587C31B9">
                  <wp:extent cx="152400" cy="152400"/>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Applications/quarto/share/formats/docx/warning.png"/>
                          <pic:cNvPicPr>
                            <a:picLocks noChangeAspect="1" noChangeArrowheads="1"/>
                          </pic:cNvPicPr>
                        </pic:nvPicPr>
                        <pic:blipFill>
                          <a:blip r:embed="rId16"/>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Sakeef M. Karim’s Appointment Policy</w:t>
            </w:r>
          </w:p>
        </w:tc>
      </w:tr>
      <w:tr w:rsidR="00C70A7F" w:rsidRPr="00B119AF" w14:paraId="0741AC59" w14:textId="77777777" w:rsidTr="00B119AF">
        <w:trPr>
          <w:cantSplit/>
        </w:trPr>
        <w:tc>
          <w:tcPr>
            <w:tcW w:w="0" w:type="auto"/>
            <w:tcMar>
              <w:top w:w="108" w:type="dxa"/>
              <w:bottom w:w="108" w:type="dxa"/>
            </w:tcMar>
          </w:tcPr>
          <w:p w14:paraId="39C64B40" w14:textId="20B0BB52" w:rsidR="00C70A7F" w:rsidRPr="00B119AF" w:rsidRDefault="00000000" w:rsidP="00B119AF">
            <w:pPr>
              <w:pStyle w:val="BodyText"/>
              <w:spacing w:before="16" w:after="16"/>
              <w:rPr>
                <w:rFonts w:ascii="Garamond" w:hAnsi="Garamond"/>
              </w:rPr>
            </w:pPr>
            <w:r w:rsidRPr="00B119AF">
              <w:rPr>
                <w:rFonts w:ascii="Garamond" w:hAnsi="Garamond"/>
              </w:rPr>
              <w:t xml:space="preserve">All meetings, </w:t>
            </w:r>
            <w:r w:rsidRPr="00B119AF">
              <w:rPr>
                <w:rFonts w:ascii="Garamond" w:hAnsi="Garamond"/>
                <w:i/>
                <w:iCs/>
              </w:rPr>
              <w:t>even during office hours</w:t>
            </w:r>
            <w:r w:rsidRPr="00B119AF">
              <w:rPr>
                <w:rFonts w:ascii="Garamond" w:hAnsi="Garamond"/>
              </w:rPr>
              <w:t xml:space="preserve">, </w:t>
            </w:r>
            <w:r w:rsidRPr="00B119AF">
              <w:rPr>
                <w:rFonts w:ascii="Garamond" w:hAnsi="Garamond"/>
                <w:i/>
                <w:iCs/>
              </w:rPr>
              <w:t>must</w:t>
            </w:r>
            <w:r w:rsidRPr="00B119AF">
              <w:rPr>
                <w:rFonts w:ascii="Garamond" w:hAnsi="Garamond"/>
              </w:rPr>
              <w:t xml:space="preserve"> be scheduled in advance via </w:t>
            </w:r>
            <w:hyperlink r:id="rId17">
              <w:r w:rsidR="00C70A7F" w:rsidRPr="00B119AF">
                <w:rPr>
                  <w:rStyle w:val="Hyperlink"/>
                  <w:rFonts w:ascii="Garamond" w:hAnsi="Garamond"/>
                </w:rPr>
                <w:t>Google Calendar</w:t>
              </w:r>
            </w:hyperlink>
            <w:r w:rsidRPr="00B119AF">
              <w:rPr>
                <w:rFonts w:ascii="Garamond" w:hAnsi="Garamond"/>
              </w:rPr>
              <w:t>.</w:t>
            </w:r>
          </w:p>
        </w:tc>
      </w:tr>
    </w:tbl>
    <w:p w14:paraId="6A7AB306" w14:textId="77777777" w:rsidR="00B119AF" w:rsidRDefault="00B119AF">
      <w:pPr>
        <w:pStyle w:val="Heading2"/>
        <w:rPr>
          <w:rFonts w:ascii="Garamond" w:hAnsi="Garamond"/>
        </w:rPr>
      </w:pPr>
      <w:bookmarkStart w:id="25" w:name="_Toc238577222"/>
      <w:bookmarkStart w:id="26" w:name="accessibility-and-accommodations"/>
      <w:bookmarkEnd w:id="24"/>
    </w:p>
    <w:p w14:paraId="5E14F9FC" w14:textId="1D9EA709" w:rsidR="00C70A7F" w:rsidRPr="00B119AF" w:rsidRDefault="00000000">
      <w:pPr>
        <w:pStyle w:val="Heading2"/>
        <w:rPr>
          <w:rFonts w:ascii="Garamond" w:hAnsi="Garamond"/>
        </w:rPr>
      </w:pPr>
      <w:r w:rsidRPr="00B119AF">
        <w:rPr>
          <w:rFonts w:ascii="Garamond" w:hAnsi="Garamond"/>
        </w:rPr>
        <w:t>Accessibility and Accommodations</w:t>
      </w:r>
      <w:bookmarkEnd w:id="25"/>
    </w:p>
    <w:p w14:paraId="65C721E5" w14:textId="77777777" w:rsidR="00C70A7F" w:rsidRPr="00B119AF" w:rsidRDefault="00000000">
      <w:pPr>
        <w:pStyle w:val="FirstParagraph"/>
        <w:rPr>
          <w:rFonts w:ascii="Garamond" w:hAnsi="Garamond"/>
        </w:rPr>
      </w:pPr>
      <w:r w:rsidRPr="00B119AF">
        <w:rPr>
          <w:rFonts w:ascii="Garamond" w:hAnsi="Garamond"/>
        </w:rPr>
        <w:t xml:space="preserve">If you require accommodations, contact Student Accessibility Services as soon as possible and </w:t>
      </w:r>
      <w:hyperlink r:id="rId18">
        <w:proofErr w:type="gramStart"/>
        <w:r w:rsidR="00C70A7F" w:rsidRPr="00B119AF">
          <w:rPr>
            <w:rStyle w:val="Hyperlink"/>
            <w:rFonts w:ascii="Garamond" w:hAnsi="Garamond"/>
          </w:rPr>
          <w:t>submit an application</w:t>
        </w:r>
        <w:proofErr w:type="gramEnd"/>
        <w:r w:rsidR="00C70A7F" w:rsidRPr="00B119AF">
          <w:rPr>
            <w:rStyle w:val="Hyperlink"/>
            <w:rFonts w:ascii="Garamond" w:hAnsi="Garamond"/>
          </w:rPr>
          <w:t xml:space="preserve"> through the AIM Portal</w:t>
        </w:r>
      </w:hyperlink>
      <w:r w:rsidRPr="00B119AF">
        <w:rPr>
          <w:rFonts w:ascii="Garamond" w:hAnsi="Garamond"/>
        </w:rPr>
        <w:t>. More generally, if you have any suggestions about how this class can be more accessible or inclusive, please let me know.</w:t>
      </w:r>
    </w:p>
    <w:p w14:paraId="236C36DE" w14:textId="472595AD" w:rsidR="00C70A7F" w:rsidRPr="00B119AF" w:rsidRDefault="00C70A7F">
      <w:pPr>
        <w:pStyle w:val="Heading2"/>
        <w:rPr>
          <w:rFonts w:ascii="Garamond" w:hAnsi="Garamond"/>
        </w:rPr>
      </w:pPr>
      <w:bookmarkStart w:id="27" w:name="weekly"/>
      <w:bookmarkEnd w:id="26"/>
    </w:p>
    <w:tbl>
      <w:tblPr>
        <w:tblStyle w:val="Table"/>
        <w:tblW w:w="0" w:type="auto"/>
        <w:tblInd w:w="554" w:type="dxa"/>
        <w:tblBorders>
          <w:top w:val="single" w:sz="4" w:space="0" w:color="00A047"/>
          <w:left w:val="single" w:sz="24" w:space="0" w:color="00A047"/>
          <w:bottom w:val="single" w:sz="4" w:space="0" w:color="00A047"/>
          <w:right w:val="single" w:sz="4" w:space="0" w:color="00A047"/>
        </w:tblBorders>
        <w:tblCellMar>
          <w:left w:w="144" w:type="dxa"/>
          <w:right w:w="144" w:type="dxa"/>
        </w:tblCellMar>
        <w:tblLook w:val="0000" w:firstRow="0" w:lastRow="0" w:firstColumn="0" w:lastColumn="0" w:noHBand="0" w:noVBand="0"/>
      </w:tblPr>
      <w:tblGrid>
        <w:gridCol w:w="7078"/>
      </w:tblGrid>
      <w:tr w:rsidR="00C70A7F" w:rsidRPr="00B119AF" w14:paraId="4FBBC981" w14:textId="77777777" w:rsidTr="00B119AF">
        <w:trPr>
          <w:cantSplit/>
        </w:trPr>
        <w:tc>
          <w:tcPr>
            <w:tcW w:w="0" w:type="auto"/>
            <w:shd w:val="clear" w:color="auto" w:fill="CCF1E3"/>
            <w:tcMar>
              <w:top w:w="92" w:type="dxa"/>
              <w:bottom w:w="92" w:type="dxa"/>
            </w:tcMar>
          </w:tcPr>
          <w:p w14:paraId="0981B2FA" w14:textId="77777777" w:rsidR="00C70A7F" w:rsidRPr="00B119AF" w:rsidRDefault="00000000">
            <w:pPr>
              <w:pStyle w:val="FirstParagraph"/>
              <w:spacing w:before="0" w:after="0"/>
              <w:textAlignment w:val="center"/>
              <w:rPr>
                <w:rFonts w:ascii="Garamond" w:hAnsi="Garamond"/>
              </w:rPr>
            </w:pPr>
            <w:r w:rsidRPr="00B119AF">
              <w:rPr>
                <w:rFonts w:ascii="Garamond" w:hAnsi="Garamond"/>
                <w:noProof/>
              </w:rPr>
              <w:drawing>
                <wp:inline distT="0" distB="0" distL="0" distR="0" wp14:anchorId="2F8C5AF4" wp14:editId="368A06D4">
                  <wp:extent cx="152400" cy="152400"/>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5" name="Picture" descr="/Applications/quarto/share/formats/docx/tip.png"/>
                          <pic:cNvPicPr>
                            <a:picLocks noChangeAspect="1" noChangeArrowheads="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Course Readings</w:t>
            </w:r>
          </w:p>
        </w:tc>
      </w:tr>
      <w:tr w:rsidR="00C70A7F" w:rsidRPr="00B119AF" w14:paraId="526AA3F6" w14:textId="77777777" w:rsidTr="00B119AF">
        <w:trPr>
          <w:cantSplit/>
        </w:trPr>
        <w:tc>
          <w:tcPr>
            <w:tcW w:w="0" w:type="auto"/>
            <w:tcMar>
              <w:top w:w="108" w:type="dxa"/>
              <w:bottom w:w="108" w:type="dxa"/>
            </w:tcMar>
          </w:tcPr>
          <w:p w14:paraId="7522C84A" w14:textId="2EEBB46E" w:rsidR="00C70A7F" w:rsidRPr="00B119AF" w:rsidRDefault="00000000" w:rsidP="00B119AF">
            <w:pPr>
              <w:pStyle w:val="BodyText"/>
              <w:spacing w:before="16" w:after="16"/>
              <w:rPr>
                <w:rFonts w:ascii="Garamond" w:hAnsi="Garamond"/>
              </w:rPr>
            </w:pPr>
            <w:r w:rsidRPr="00B119AF">
              <w:rPr>
                <w:rFonts w:ascii="Garamond" w:hAnsi="Garamond"/>
              </w:rPr>
              <w:t xml:space="preserve">As noted, </w:t>
            </w:r>
            <w:r w:rsidR="00E53C95">
              <w:rPr>
                <w:rFonts w:ascii="Garamond" w:hAnsi="Garamond"/>
              </w:rPr>
              <w:t>all</w:t>
            </w:r>
            <w:r w:rsidRPr="00B119AF">
              <w:rPr>
                <w:rFonts w:ascii="Garamond" w:hAnsi="Garamond"/>
              </w:rPr>
              <w:t xml:space="preserve"> readings can be accessed via the </w:t>
            </w:r>
            <w:hyperlink r:id="rId19">
              <w:r w:rsidR="00C70A7F" w:rsidRPr="00B119AF">
                <w:rPr>
                  <w:rStyle w:val="Hyperlink"/>
                  <w:rFonts w:ascii="Garamond" w:hAnsi="Garamond"/>
                </w:rPr>
                <w:t>eReserves page</w:t>
              </w:r>
            </w:hyperlink>
            <w:r w:rsidRPr="00B119AF">
              <w:rPr>
                <w:rFonts w:ascii="Garamond" w:hAnsi="Garamond"/>
              </w:rPr>
              <w:t xml:space="preserve"> on Moodle.</w:t>
            </w:r>
          </w:p>
        </w:tc>
      </w:tr>
    </w:tbl>
    <w:p w14:paraId="6020EF8E" w14:textId="77777777" w:rsidR="00C70A7F" w:rsidRPr="00B119AF" w:rsidRDefault="00000000">
      <w:pPr>
        <w:pStyle w:val="Heading1"/>
        <w:rPr>
          <w:rFonts w:ascii="Garamond" w:hAnsi="Garamond"/>
        </w:rPr>
      </w:pPr>
      <w:bookmarkStart w:id="28" w:name="_Toc238577224"/>
      <w:bookmarkEnd w:id="27"/>
      <w:r w:rsidRPr="00B119AF">
        <w:rPr>
          <w:rFonts w:ascii="Garamond" w:hAnsi="Garamond"/>
        </w:rPr>
        <w:t>Reading List</w:t>
      </w:r>
      <w:bookmarkEnd w:id="28"/>
    </w:p>
    <w:p w14:paraId="6A92F698" w14:textId="2C9A05BE" w:rsidR="00C70A7F" w:rsidRPr="00B119AF" w:rsidRDefault="00000000" w:rsidP="00B119AF">
      <w:pPr>
        <w:pStyle w:val="FirstParagraph"/>
        <w:jc w:val="center"/>
        <w:rPr>
          <w:rFonts w:ascii="Garamond" w:hAnsi="Garamond"/>
        </w:rPr>
      </w:pPr>
      <w:r w:rsidRPr="00B119AF">
        <w:rPr>
          <w:rFonts w:ascii="Garamond" w:hAnsi="Garamond"/>
        </w:rPr>
        <w:t xml:space="preserve">Readings </w:t>
      </w:r>
      <w:r w:rsidR="00B119AF" w:rsidRPr="00B119AF">
        <w:rPr>
          <w:rFonts w:ascii="Garamond" w:hAnsi="Garamond"/>
          <w:highlight w:val="lightGray"/>
        </w:rPr>
        <w:t>highlighted</w:t>
      </w:r>
      <w:r w:rsidRPr="00B119AF">
        <w:rPr>
          <w:rFonts w:ascii="Garamond" w:hAnsi="Garamond"/>
        </w:rPr>
        <w:t xml:space="preserve"> below are optional.</w:t>
      </w:r>
    </w:p>
    <w:p w14:paraId="230B2785" w14:textId="77777777" w:rsidR="00C70A7F" w:rsidRPr="00C67F66" w:rsidRDefault="00000000">
      <w:pPr>
        <w:pStyle w:val="Heading3"/>
        <w:rPr>
          <w:rFonts w:ascii="Garamond" w:hAnsi="Garamond"/>
          <w:sz w:val="32"/>
          <w:szCs w:val="32"/>
        </w:rPr>
      </w:pPr>
      <w:bookmarkStart w:id="29" w:name="_Toc238577225"/>
      <w:bookmarkStart w:id="30" w:name="parti"/>
      <w:r w:rsidRPr="00C67F66">
        <w:rPr>
          <w:rFonts w:ascii="Garamond" w:hAnsi="Garamond"/>
          <w:b/>
          <w:bCs/>
          <w:sz w:val="32"/>
          <w:szCs w:val="32"/>
        </w:rPr>
        <w:t>Part I: Theoretical Foundations</w:t>
      </w:r>
      <w:bookmarkEnd w:id="29"/>
    </w:p>
    <w:p w14:paraId="7DF7EE48" w14:textId="77777777" w:rsidR="00C70A7F" w:rsidRPr="00C67F66" w:rsidRDefault="00000000">
      <w:pPr>
        <w:pStyle w:val="Heading4"/>
        <w:rPr>
          <w:rFonts w:ascii="Garamond" w:hAnsi="Garamond"/>
          <w:b/>
          <w:bCs/>
          <w:sz w:val="28"/>
          <w:szCs w:val="28"/>
        </w:rPr>
      </w:pPr>
      <w:bookmarkStart w:id="31" w:name="X98315ea7410f62fc0f98cdf6b6d57df0dd07916"/>
      <w:r w:rsidRPr="00C67F66">
        <w:rPr>
          <w:rFonts w:ascii="Garamond" w:hAnsi="Garamond"/>
          <w:b/>
          <w:bCs/>
          <w:sz w:val="28"/>
          <w:szCs w:val="28"/>
        </w:rPr>
        <w:t>Week 1: Introduction to the Assimilation Paradigm</w:t>
      </w:r>
    </w:p>
    <w:p w14:paraId="2B7D3F9C" w14:textId="77777777" w:rsidR="00C70A7F" w:rsidRPr="00B119AF" w:rsidRDefault="00000000">
      <w:pPr>
        <w:pStyle w:val="Heading6"/>
        <w:rPr>
          <w:rFonts w:ascii="Garamond" w:hAnsi="Garamond"/>
        </w:rPr>
      </w:pPr>
      <w:bookmarkStart w:id="32" w:name="Xec20971f834d92d0dfd131df1dc31b2c0673192"/>
      <w:r w:rsidRPr="00B119AF">
        <w:rPr>
          <w:rFonts w:ascii="Garamond" w:hAnsi="Garamond"/>
        </w:rPr>
        <w:t xml:space="preserve"> September 1</w:t>
      </w:r>
      <w:r w:rsidRPr="00B119AF">
        <w:rPr>
          <w:rFonts w:ascii="Garamond" w:hAnsi="Garamond"/>
          <w:vertAlign w:val="superscript"/>
        </w:rPr>
        <w:t>st</w:t>
      </w:r>
      <w:r w:rsidRPr="00B119AF">
        <w:rPr>
          <w:rFonts w:ascii="Garamond" w:hAnsi="Garamond"/>
        </w:rPr>
        <w:t xml:space="preserve"> &amp; September 3</w:t>
      </w:r>
      <w:r w:rsidRPr="00B119AF">
        <w:rPr>
          <w:rFonts w:ascii="Garamond" w:hAnsi="Garamond"/>
          <w:vertAlign w:val="superscript"/>
        </w:rPr>
        <w:t>rd</w:t>
      </w:r>
    </w:p>
    <w:p w14:paraId="7EFE1C75" w14:textId="77777777" w:rsidR="00C70A7F" w:rsidRPr="00B119AF" w:rsidRDefault="00000000">
      <w:pPr>
        <w:pStyle w:val="Heading3"/>
        <w:rPr>
          <w:rFonts w:ascii="Garamond" w:hAnsi="Garamond"/>
          <w:sz w:val="24"/>
          <w:szCs w:val="24"/>
        </w:rPr>
      </w:pPr>
      <w:bookmarkStart w:id="33" w:name="_Toc238577226"/>
      <w:bookmarkEnd w:id="30"/>
      <w:bookmarkEnd w:id="31"/>
      <w:bookmarkEnd w:id="32"/>
      <w:r w:rsidRPr="00B119AF">
        <w:rPr>
          <w:rFonts w:ascii="Garamond" w:hAnsi="Garamond"/>
          <w:sz w:val="24"/>
          <w:szCs w:val="24"/>
        </w:rPr>
        <w:t>Lecture 1</w:t>
      </w:r>
      <w:bookmarkEnd w:id="33"/>
    </w:p>
    <w:p w14:paraId="7596BE12" w14:textId="77777777" w:rsidR="00C70A7F" w:rsidRPr="00B119AF" w:rsidRDefault="00000000">
      <w:pPr>
        <w:pStyle w:val="FirstParagraph"/>
        <w:rPr>
          <w:rFonts w:ascii="Garamond" w:hAnsi="Garamond"/>
        </w:rPr>
      </w:pPr>
      <w:r w:rsidRPr="00B119AF">
        <w:rPr>
          <w:rFonts w:ascii="Garamond" w:hAnsi="Garamond"/>
          <w:i/>
          <w:iCs/>
          <w:highlight w:val="lightGray"/>
        </w:rPr>
        <w:t>Assimilation as Concept and as Process</w:t>
      </w:r>
      <w:r w:rsidRPr="00B119AF">
        <w:rPr>
          <w:rFonts w:ascii="Garamond" w:hAnsi="Garamond"/>
          <w:highlight w:val="lightGray"/>
        </w:rPr>
        <w:t xml:space="preserve">  (Hirsch 1942)</w:t>
      </w:r>
    </w:p>
    <w:p w14:paraId="3306A543" w14:textId="77777777" w:rsidR="00C70A7F" w:rsidRPr="00B119AF" w:rsidRDefault="00000000">
      <w:pPr>
        <w:pStyle w:val="Heading3"/>
        <w:rPr>
          <w:rFonts w:ascii="Garamond" w:hAnsi="Garamond"/>
          <w:sz w:val="24"/>
          <w:szCs w:val="24"/>
        </w:rPr>
      </w:pPr>
      <w:bookmarkStart w:id="34" w:name="_Toc238577227"/>
      <w:r w:rsidRPr="00B119AF">
        <w:rPr>
          <w:rFonts w:ascii="Garamond" w:hAnsi="Garamond"/>
          <w:sz w:val="24"/>
          <w:szCs w:val="24"/>
        </w:rPr>
        <w:t>Lecture 2</w:t>
      </w:r>
      <w:bookmarkEnd w:id="34"/>
    </w:p>
    <w:p w14:paraId="20FEC466" w14:textId="77777777" w:rsidR="00C70A7F" w:rsidRPr="00B119AF" w:rsidRDefault="00000000">
      <w:pPr>
        <w:pStyle w:val="FirstParagraph"/>
        <w:rPr>
          <w:rFonts w:ascii="Garamond" w:hAnsi="Garamond"/>
        </w:rPr>
      </w:pPr>
      <w:r w:rsidRPr="00B119AF">
        <w:rPr>
          <w:rFonts w:ascii="Garamond" w:hAnsi="Garamond"/>
          <w:i/>
          <w:iCs/>
        </w:rPr>
        <w:t>Assimilation</w:t>
      </w:r>
      <w:r w:rsidRPr="00B119AF">
        <w:rPr>
          <w:rFonts w:ascii="Garamond" w:hAnsi="Garamond"/>
        </w:rPr>
        <w:t xml:space="preserve">  (Alba and Nee 2014)</w:t>
      </w:r>
    </w:p>
    <w:p w14:paraId="68C13459" w14:textId="77777777" w:rsidR="00C70A7F" w:rsidRPr="00B119AF" w:rsidRDefault="00000000">
      <w:pPr>
        <w:pStyle w:val="BodyText"/>
        <w:rPr>
          <w:rFonts w:ascii="Garamond" w:hAnsi="Garamond"/>
        </w:rPr>
      </w:pPr>
      <w:r w:rsidRPr="00B119AF">
        <w:rPr>
          <w:rFonts w:ascii="Garamond" w:hAnsi="Garamond"/>
          <w:i/>
          <w:iCs/>
        </w:rPr>
        <w:t>Demographic Change and Assimilation in the Early 21</w:t>
      </w:r>
      <w:r w:rsidRPr="00B119AF">
        <w:rPr>
          <w:rFonts w:ascii="Garamond" w:hAnsi="Garamond"/>
          <w:i/>
          <w:iCs/>
          <w:vertAlign w:val="superscript"/>
        </w:rPr>
        <w:t>st</w:t>
      </w:r>
      <w:r w:rsidRPr="00B119AF">
        <w:rPr>
          <w:rFonts w:ascii="Garamond" w:hAnsi="Garamond"/>
          <w:i/>
          <w:iCs/>
        </w:rPr>
        <w:t>-Century United States</w:t>
      </w:r>
      <w:r w:rsidRPr="00B119AF">
        <w:rPr>
          <w:rFonts w:ascii="Garamond" w:hAnsi="Garamond"/>
        </w:rPr>
        <w:t xml:space="preserve">  (Alba and Maggio 2022)</w:t>
      </w:r>
    </w:p>
    <w:p w14:paraId="57023C7B" w14:textId="77777777" w:rsidR="00C70A7F" w:rsidRPr="00B119AF" w:rsidRDefault="00000000">
      <w:pPr>
        <w:pStyle w:val="BodyText"/>
        <w:rPr>
          <w:rFonts w:ascii="Garamond" w:hAnsi="Garamond"/>
        </w:rPr>
      </w:pPr>
      <w:r w:rsidRPr="00B119AF">
        <w:rPr>
          <w:rFonts w:ascii="Garamond" w:hAnsi="Garamond"/>
          <w:i/>
          <w:iCs/>
          <w:highlight w:val="lightGray"/>
        </w:rPr>
        <w:t>The Return of Assimilation? Changing Perspectives on Immigration and Its Sequels in France, Germany, and the United States</w:t>
      </w:r>
      <w:r w:rsidRPr="00B119AF">
        <w:rPr>
          <w:rFonts w:ascii="Garamond" w:hAnsi="Garamond"/>
          <w:highlight w:val="lightGray"/>
        </w:rPr>
        <w:t xml:space="preserve"> (Brubaker 2001)</w:t>
      </w:r>
    </w:p>
    <w:p w14:paraId="0BD72815" w14:textId="77777777" w:rsidR="00C70A7F" w:rsidRPr="00C67F66" w:rsidRDefault="00000000">
      <w:pPr>
        <w:pStyle w:val="Heading4"/>
        <w:rPr>
          <w:rFonts w:ascii="Garamond" w:hAnsi="Garamond"/>
          <w:b/>
          <w:bCs/>
          <w:sz w:val="28"/>
          <w:szCs w:val="28"/>
        </w:rPr>
      </w:pPr>
      <w:bookmarkStart w:id="35" w:name="X090510b7214669439f9456f3d1f8aecc020f474"/>
      <w:r w:rsidRPr="00C67F66">
        <w:rPr>
          <w:rFonts w:ascii="Garamond" w:hAnsi="Garamond"/>
          <w:b/>
          <w:bCs/>
          <w:sz w:val="28"/>
          <w:szCs w:val="28"/>
        </w:rPr>
        <w:t>Week 2: Early Assimilation Theories (Chicago School)</w:t>
      </w:r>
    </w:p>
    <w:p w14:paraId="58296899" w14:textId="77777777" w:rsidR="00C70A7F" w:rsidRPr="00B119AF" w:rsidRDefault="00000000">
      <w:pPr>
        <w:pStyle w:val="Heading6"/>
        <w:rPr>
          <w:rFonts w:ascii="Garamond" w:hAnsi="Garamond"/>
        </w:rPr>
      </w:pPr>
      <w:bookmarkStart w:id="36" w:name="X78285b979d6b1763fe0035d8e12c3ec2cbf9caf"/>
      <w:r w:rsidRPr="00B119AF">
        <w:rPr>
          <w:rFonts w:ascii="Garamond" w:hAnsi="Garamond"/>
        </w:rPr>
        <w:t xml:space="preserve"> September 8</w:t>
      </w:r>
      <w:r w:rsidRPr="00B119AF">
        <w:rPr>
          <w:rFonts w:ascii="Garamond" w:hAnsi="Garamond"/>
          <w:vertAlign w:val="superscript"/>
        </w:rPr>
        <w:t>th</w:t>
      </w:r>
      <w:r w:rsidRPr="00B119AF">
        <w:rPr>
          <w:rFonts w:ascii="Garamond" w:hAnsi="Garamond"/>
        </w:rPr>
        <w:t xml:space="preserve"> &amp; September 10</w:t>
      </w:r>
      <w:r w:rsidRPr="00B119AF">
        <w:rPr>
          <w:rFonts w:ascii="Garamond" w:hAnsi="Garamond"/>
          <w:vertAlign w:val="superscript"/>
        </w:rPr>
        <w:t>th</w:t>
      </w:r>
    </w:p>
    <w:p w14:paraId="479E8D8C" w14:textId="77777777" w:rsidR="00C70A7F" w:rsidRPr="00B119AF" w:rsidRDefault="00000000">
      <w:pPr>
        <w:pStyle w:val="Heading3"/>
        <w:rPr>
          <w:rFonts w:ascii="Garamond" w:hAnsi="Garamond"/>
          <w:sz w:val="24"/>
          <w:szCs w:val="24"/>
        </w:rPr>
      </w:pPr>
      <w:bookmarkStart w:id="37" w:name="_Toc238577228"/>
      <w:bookmarkEnd w:id="35"/>
      <w:bookmarkEnd w:id="36"/>
      <w:r w:rsidRPr="00B119AF">
        <w:rPr>
          <w:rFonts w:ascii="Garamond" w:hAnsi="Garamond"/>
          <w:sz w:val="24"/>
          <w:szCs w:val="24"/>
        </w:rPr>
        <w:t>Lecture 1</w:t>
      </w:r>
      <w:bookmarkEnd w:id="37"/>
    </w:p>
    <w:p w14:paraId="28A91724" w14:textId="77777777" w:rsidR="00C70A7F" w:rsidRPr="00B119AF" w:rsidRDefault="00000000">
      <w:pPr>
        <w:pStyle w:val="FirstParagraph"/>
        <w:rPr>
          <w:rFonts w:ascii="Garamond" w:hAnsi="Garamond"/>
        </w:rPr>
      </w:pPr>
      <w:r w:rsidRPr="00B119AF">
        <w:rPr>
          <w:rFonts w:ascii="Garamond" w:hAnsi="Garamond"/>
          <w:i/>
          <w:iCs/>
        </w:rPr>
        <w:t>Racial Assimilation in Secondary Groups</w:t>
      </w:r>
      <w:r w:rsidRPr="00B119AF">
        <w:rPr>
          <w:rFonts w:ascii="Garamond" w:hAnsi="Garamond"/>
        </w:rPr>
        <w:t xml:space="preserve">  (Park 1914)</w:t>
      </w:r>
    </w:p>
    <w:p w14:paraId="79E98D67" w14:textId="77777777" w:rsidR="00C70A7F" w:rsidRPr="00B119AF" w:rsidRDefault="00000000">
      <w:pPr>
        <w:pStyle w:val="Heading3"/>
        <w:rPr>
          <w:rFonts w:ascii="Garamond" w:hAnsi="Garamond"/>
          <w:sz w:val="24"/>
          <w:szCs w:val="24"/>
        </w:rPr>
      </w:pPr>
      <w:bookmarkStart w:id="38" w:name="_Toc238577229"/>
      <w:r w:rsidRPr="00B119AF">
        <w:rPr>
          <w:rFonts w:ascii="Garamond" w:hAnsi="Garamond"/>
          <w:sz w:val="24"/>
          <w:szCs w:val="24"/>
        </w:rPr>
        <w:t>Lecture 2</w:t>
      </w:r>
      <w:bookmarkEnd w:id="38"/>
    </w:p>
    <w:p w14:paraId="0FE293A5" w14:textId="77777777" w:rsidR="00C70A7F" w:rsidRPr="00B119AF" w:rsidRDefault="00000000">
      <w:pPr>
        <w:pStyle w:val="FirstParagraph"/>
        <w:rPr>
          <w:rFonts w:ascii="Garamond" w:hAnsi="Garamond"/>
        </w:rPr>
      </w:pPr>
      <w:r w:rsidRPr="00B119AF">
        <w:rPr>
          <w:rFonts w:ascii="Garamond" w:hAnsi="Garamond"/>
          <w:i/>
          <w:iCs/>
        </w:rPr>
        <w:t>Introduction to the Science of Sociology</w:t>
      </w:r>
      <w:r w:rsidRPr="00B119AF">
        <w:rPr>
          <w:rFonts w:ascii="Garamond" w:hAnsi="Garamond"/>
        </w:rPr>
        <w:t xml:space="preserve">  (Park and Burgess 2019)</w:t>
      </w:r>
    </w:p>
    <w:p w14:paraId="0246D1B9" w14:textId="77777777" w:rsidR="00C70A7F" w:rsidRPr="00B119AF" w:rsidRDefault="00000000">
      <w:pPr>
        <w:pStyle w:val="Compact"/>
        <w:numPr>
          <w:ilvl w:val="0"/>
          <w:numId w:val="2"/>
        </w:numPr>
        <w:rPr>
          <w:rFonts w:ascii="Garamond" w:hAnsi="Garamond"/>
        </w:rPr>
      </w:pPr>
      <w:r w:rsidRPr="00B119AF">
        <w:rPr>
          <w:rFonts w:ascii="Garamond" w:hAnsi="Garamond"/>
        </w:rPr>
        <w:t>Chapter XI</w:t>
      </w:r>
    </w:p>
    <w:p w14:paraId="71E86332" w14:textId="77777777" w:rsidR="00C70A7F" w:rsidRPr="00B119AF" w:rsidRDefault="00000000">
      <w:pPr>
        <w:pStyle w:val="Compact"/>
        <w:numPr>
          <w:ilvl w:val="1"/>
          <w:numId w:val="3"/>
        </w:numPr>
        <w:rPr>
          <w:rFonts w:ascii="Garamond" w:hAnsi="Garamond"/>
        </w:rPr>
      </w:pPr>
      <w:r w:rsidRPr="00B119AF">
        <w:rPr>
          <w:rFonts w:ascii="Garamond" w:hAnsi="Garamond"/>
        </w:rPr>
        <w:t>Pp. 734-737</w:t>
      </w:r>
    </w:p>
    <w:p w14:paraId="7B326FD2" w14:textId="77777777" w:rsidR="00C70A7F" w:rsidRPr="00B119AF" w:rsidRDefault="00000000">
      <w:pPr>
        <w:pStyle w:val="Compact"/>
        <w:numPr>
          <w:ilvl w:val="1"/>
          <w:numId w:val="3"/>
        </w:numPr>
        <w:rPr>
          <w:rFonts w:ascii="Garamond" w:hAnsi="Garamond"/>
        </w:rPr>
      </w:pPr>
      <w:r w:rsidRPr="00B119AF">
        <w:rPr>
          <w:rFonts w:ascii="Garamond" w:hAnsi="Garamond"/>
        </w:rPr>
        <w:t>Pp. 769-774</w:t>
      </w:r>
    </w:p>
    <w:p w14:paraId="58F8C964" w14:textId="77777777" w:rsidR="00C70A7F" w:rsidRPr="00B119AF" w:rsidRDefault="00000000">
      <w:pPr>
        <w:pStyle w:val="FirstParagraph"/>
        <w:rPr>
          <w:rFonts w:ascii="Garamond" w:hAnsi="Garamond"/>
        </w:rPr>
      </w:pPr>
      <w:r w:rsidRPr="00B119AF">
        <w:rPr>
          <w:rFonts w:ascii="Garamond" w:hAnsi="Garamond"/>
          <w:i/>
          <w:iCs/>
        </w:rPr>
        <w:t>Robert E. Park’s Theory of Assimilation and Beyond</w:t>
      </w:r>
      <w:r w:rsidRPr="00B119AF">
        <w:rPr>
          <w:rFonts w:ascii="Garamond" w:hAnsi="Garamond"/>
        </w:rPr>
        <w:t xml:space="preserve">  (Kivisto 2017)</w:t>
      </w:r>
    </w:p>
    <w:p w14:paraId="5B52F624" w14:textId="77777777" w:rsidR="00C70A7F" w:rsidRPr="00C67F66" w:rsidRDefault="00000000">
      <w:pPr>
        <w:pStyle w:val="Heading4"/>
        <w:rPr>
          <w:rFonts w:ascii="Garamond" w:hAnsi="Garamond"/>
          <w:b/>
          <w:bCs/>
          <w:sz w:val="28"/>
          <w:szCs w:val="28"/>
        </w:rPr>
      </w:pPr>
      <w:bookmarkStart w:id="39" w:name="week3"/>
      <w:r w:rsidRPr="00C67F66">
        <w:rPr>
          <w:rFonts w:ascii="Garamond" w:hAnsi="Garamond"/>
          <w:b/>
          <w:bCs/>
          <w:sz w:val="28"/>
          <w:szCs w:val="28"/>
        </w:rPr>
        <w:t>Week 3: Straight-Line Assimilation Theory</w:t>
      </w:r>
    </w:p>
    <w:p w14:paraId="18B9A3BD" w14:textId="77777777" w:rsidR="00C70A7F" w:rsidRPr="00B119AF" w:rsidRDefault="00000000">
      <w:pPr>
        <w:pStyle w:val="Heading6"/>
        <w:rPr>
          <w:rFonts w:ascii="Garamond" w:hAnsi="Garamond"/>
        </w:rPr>
      </w:pPr>
      <w:bookmarkStart w:id="40" w:name="X70e2c79003dad8604bf26285fd48c544440648e"/>
      <w:r w:rsidRPr="00B119AF">
        <w:rPr>
          <w:rFonts w:ascii="Garamond" w:hAnsi="Garamond"/>
        </w:rPr>
        <w:t xml:space="preserve"> September 15</w:t>
      </w:r>
      <w:r w:rsidRPr="00B119AF">
        <w:rPr>
          <w:rFonts w:ascii="Garamond" w:hAnsi="Garamond"/>
          <w:vertAlign w:val="superscript"/>
        </w:rPr>
        <w:t>th</w:t>
      </w:r>
      <w:r w:rsidRPr="00B119AF">
        <w:rPr>
          <w:rFonts w:ascii="Garamond" w:hAnsi="Garamond"/>
        </w:rPr>
        <w:t xml:space="preserve"> &amp; September 17</w:t>
      </w:r>
      <w:r w:rsidRPr="00B119AF">
        <w:rPr>
          <w:rFonts w:ascii="Garamond" w:hAnsi="Garamond"/>
          <w:vertAlign w:val="superscript"/>
        </w:rPr>
        <w:t>th</w:t>
      </w:r>
    </w:p>
    <w:p w14:paraId="24CB4947" w14:textId="77777777" w:rsidR="00C70A7F" w:rsidRPr="00B119AF" w:rsidRDefault="00000000">
      <w:pPr>
        <w:pStyle w:val="Heading3"/>
        <w:rPr>
          <w:rFonts w:ascii="Garamond" w:hAnsi="Garamond"/>
          <w:sz w:val="24"/>
          <w:szCs w:val="24"/>
        </w:rPr>
      </w:pPr>
      <w:bookmarkStart w:id="41" w:name="_Toc238577230"/>
      <w:bookmarkEnd w:id="39"/>
      <w:bookmarkEnd w:id="40"/>
      <w:r w:rsidRPr="00B119AF">
        <w:rPr>
          <w:rFonts w:ascii="Garamond" w:hAnsi="Garamond"/>
          <w:sz w:val="24"/>
          <w:szCs w:val="24"/>
        </w:rPr>
        <w:t>Lecture 1</w:t>
      </w:r>
      <w:bookmarkEnd w:id="41"/>
    </w:p>
    <w:p w14:paraId="25C6E470" w14:textId="77777777" w:rsidR="00C70A7F" w:rsidRPr="00B119AF" w:rsidRDefault="00000000">
      <w:pPr>
        <w:pStyle w:val="FirstParagraph"/>
        <w:rPr>
          <w:rFonts w:ascii="Garamond" w:hAnsi="Garamond"/>
        </w:rPr>
      </w:pPr>
      <w:r w:rsidRPr="00B119AF">
        <w:rPr>
          <w:rFonts w:ascii="Garamond" w:hAnsi="Garamond"/>
          <w:i/>
          <w:iCs/>
        </w:rPr>
        <w:t>Remaking the American Mainstream</w:t>
      </w:r>
      <w:r w:rsidRPr="00B119AF">
        <w:rPr>
          <w:rFonts w:ascii="Garamond" w:hAnsi="Garamond"/>
        </w:rPr>
        <w:t xml:space="preserve">  (Alba and Nee 2003)</w:t>
      </w:r>
    </w:p>
    <w:p w14:paraId="5A3666A4" w14:textId="77777777" w:rsidR="00C70A7F" w:rsidRPr="00B119AF" w:rsidRDefault="00000000">
      <w:pPr>
        <w:pStyle w:val="Compact"/>
        <w:numPr>
          <w:ilvl w:val="0"/>
          <w:numId w:val="4"/>
        </w:numPr>
        <w:rPr>
          <w:rFonts w:ascii="Garamond" w:hAnsi="Garamond"/>
        </w:rPr>
      </w:pPr>
      <w:r w:rsidRPr="00B119AF">
        <w:rPr>
          <w:rFonts w:ascii="Garamond" w:hAnsi="Garamond"/>
        </w:rPr>
        <w:lastRenderedPageBreak/>
        <w:t>Chapter 1</w:t>
      </w:r>
    </w:p>
    <w:p w14:paraId="740C8621" w14:textId="77777777" w:rsidR="00C70A7F" w:rsidRPr="00B119AF" w:rsidRDefault="00000000">
      <w:pPr>
        <w:pStyle w:val="Compact"/>
        <w:numPr>
          <w:ilvl w:val="1"/>
          <w:numId w:val="5"/>
        </w:numPr>
        <w:rPr>
          <w:rFonts w:ascii="Garamond" w:hAnsi="Garamond"/>
        </w:rPr>
      </w:pPr>
      <w:r w:rsidRPr="00B119AF">
        <w:rPr>
          <w:rFonts w:ascii="Garamond" w:hAnsi="Garamond"/>
        </w:rPr>
        <w:t>Pp. 1-5</w:t>
      </w:r>
    </w:p>
    <w:p w14:paraId="1F82970D" w14:textId="77777777" w:rsidR="00C70A7F" w:rsidRPr="00B119AF" w:rsidRDefault="00000000">
      <w:pPr>
        <w:pStyle w:val="FirstParagraph"/>
        <w:rPr>
          <w:rFonts w:ascii="Garamond" w:hAnsi="Garamond"/>
        </w:rPr>
      </w:pPr>
      <w:r w:rsidRPr="00B119AF">
        <w:rPr>
          <w:rFonts w:ascii="Garamond" w:hAnsi="Garamond"/>
          <w:i/>
          <w:iCs/>
        </w:rPr>
        <w:t>The Social Systems of American Ethnic Groups</w:t>
      </w:r>
      <w:r w:rsidRPr="00B119AF">
        <w:rPr>
          <w:rFonts w:ascii="Garamond" w:hAnsi="Garamond"/>
        </w:rPr>
        <w:t xml:space="preserve">  (Warner and Srole 1945)</w:t>
      </w:r>
    </w:p>
    <w:p w14:paraId="6FE99953" w14:textId="77777777" w:rsidR="00C70A7F" w:rsidRPr="00B119AF" w:rsidRDefault="00000000">
      <w:pPr>
        <w:pStyle w:val="Compact"/>
        <w:numPr>
          <w:ilvl w:val="0"/>
          <w:numId w:val="6"/>
        </w:numPr>
        <w:rPr>
          <w:rFonts w:ascii="Garamond" w:hAnsi="Garamond"/>
        </w:rPr>
      </w:pPr>
      <w:r w:rsidRPr="00B119AF">
        <w:rPr>
          <w:rFonts w:ascii="Garamond" w:hAnsi="Garamond"/>
        </w:rPr>
        <w:t>Chapter I</w:t>
      </w:r>
    </w:p>
    <w:p w14:paraId="6FABE98E" w14:textId="77777777" w:rsidR="00C70A7F" w:rsidRPr="00B119AF" w:rsidRDefault="00000000">
      <w:pPr>
        <w:pStyle w:val="Compact"/>
        <w:numPr>
          <w:ilvl w:val="1"/>
          <w:numId w:val="7"/>
        </w:numPr>
        <w:rPr>
          <w:rFonts w:ascii="Garamond" w:hAnsi="Garamond"/>
        </w:rPr>
      </w:pPr>
      <w:r w:rsidRPr="00B119AF">
        <w:rPr>
          <w:rFonts w:ascii="Garamond" w:hAnsi="Garamond"/>
        </w:rPr>
        <w:t>Pp. 1-3</w:t>
      </w:r>
    </w:p>
    <w:p w14:paraId="312BD5B6" w14:textId="77777777" w:rsidR="00C70A7F" w:rsidRPr="00B119AF" w:rsidRDefault="00000000">
      <w:pPr>
        <w:pStyle w:val="Compact"/>
        <w:numPr>
          <w:ilvl w:val="0"/>
          <w:numId w:val="6"/>
        </w:numPr>
        <w:rPr>
          <w:rFonts w:ascii="Garamond" w:hAnsi="Garamond"/>
        </w:rPr>
      </w:pPr>
      <w:r w:rsidRPr="00B119AF">
        <w:rPr>
          <w:rFonts w:ascii="Garamond" w:hAnsi="Garamond"/>
        </w:rPr>
        <w:t>Chapter X</w:t>
      </w:r>
    </w:p>
    <w:p w14:paraId="79B27AF5" w14:textId="77777777" w:rsidR="00C70A7F" w:rsidRPr="00B119AF" w:rsidRDefault="00000000">
      <w:pPr>
        <w:pStyle w:val="Heading3"/>
        <w:rPr>
          <w:rFonts w:ascii="Garamond" w:hAnsi="Garamond"/>
          <w:sz w:val="24"/>
          <w:szCs w:val="24"/>
        </w:rPr>
      </w:pPr>
      <w:bookmarkStart w:id="42" w:name="_Toc238577231"/>
      <w:r w:rsidRPr="00B119AF">
        <w:rPr>
          <w:rFonts w:ascii="Garamond" w:hAnsi="Garamond"/>
          <w:sz w:val="24"/>
          <w:szCs w:val="24"/>
        </w:rPr>
        <w:t>Lecture 2</w:t>
      </w:r>
      <w:bookmarkEnd w:id="42"/>
    </w:p>
    <w:p w14:paraId="4F241305" w14:textId="77777777" w:rsidR="00C70A7F" w:rsidRPr="00B119AF" w:rsidRDefault="00000000">
      <w:pPr>
        <w:pStyle w:val="FirstParagraph"/>
        <w:rPr>
          <w:rFonts w:ascii="Garamond" w:hAnsi="Garamond"/>
        </w:rPr>
      </w:pPr>
      <w:r w:rsidRPr="00B119AF">
        <w:rPr>
          <w:rFonts w:ascii="Garamond" w:hAnsi="Garamond"/>
          <w:i/>
          <w:iCs/>
        </w:rPr>
        <w:t>Assimilation in American Life</w:t>
      </w:r>
      <w:r w:rsidRPr="00B119AF">
        <w:rPr>
          <w:rFonts w:ascii="Garamond" w:hAnsi="Garamond"/>
        </w:rPr>
        <w:t xml:space="preserve">  (Gordon 1964)</w:t>
      </w:r>
    </w:p>
    <w:p w14:paraId="35FA96FC" w14:textId="77777777" w:rsidR="00C70A7F" w:rsidRPr="00B119AF" w:rsidRDefault="00000000">
      <w:pPr>
        <w:pStyle w:val="Compact"/>
        <w:numPr>
          <w:ilvl w:val="0"/>
          <w:numId w:val="8"/>
        </w:numPr>
        <w:rPr>
          <w:rFonts w:ascii="Garamond" w:hAnsi="Garamond"/>
        </w:rPr>
      </w:pPr>
      <w:r w:rsidRPr="00B119AF">
        <w:rPr>
          <w:rFonts w:ascii="Garamond" w:hAnsi="Garamond"/>
        </w:rPr>
        <w:t>Chapter 3</w:t>
      </w:r>
    </w:p>
    <w:p w14:paraId="697F1829" w14:textId="77777777" w:rsidR="00C70A7F" w:rsidRPr="00B119AF" w:rsidRDefault="00000000">
      <w:pPr>
        <w:pStyle w:val="FirstParagraph"/>
        <w:rPr>
          <w:rFonts w:ascii="Garamond" w:hAnsi="Garamond"/>
          <w:highlight w:val="lightGray"/>
        </w:rPr>
      </w:pPr>
      <w:r w:rsidRPr="00B119AF">
        <w:rPr>
          <w:rFonts w:ascii="Garamond" w:hAnsi="Garamond"/>
          <w:i/>
          <w:iCs/>
          <w:highlight w:val="lightGray"/>
        </w:rPr>
        <w:t>Ethnicity and Race: Making Identities in a Changing World</w:t>
      </w:r>
      <w:r w:rsidRPr="00B119AF">
        <w:rPr>
          <w:rFonts w:ascii="Garamond" w:hAnsi="Garamond"/>
          <w:highlight w:val="lightGray"/>
        </w:rPr>
        <w:t xml:space="preserve">  (Cornell and Hartmann 2007)</w:t>
      </w:r>
    </w:p>
    <w:p w14:paraId="4BCEDC33" w14:textId="77777777" w:rsidR="00C70A7F" w:rsidRPr="00B119AF" w:rsidRDefault="00000000">
      <w:pPr>
        <w:pStyle w:val="Compact"/>
        <w:numPr>
          <w:ilvl w:val="0"/>
          <w:numId w:val="9"/>
        </w:numPr>
        <w:rPr>
          <w:rFonts w:ascii="Garamond" w:hAnsi="Garamond"/>
          <w:highlight w:val="lightGray"/>
        </w:rPr>
      </w:pPr>
      <w:r w:rsidRPr="00B119AF">
        <w:rPr>
          <w:rFonts w:ascii="Garamond" w:hAnsi="Garamond"/>
          <w:highlight w:val="lightGray"/>
        </w:rPr>
        <w:t>Chapter 3</w:t>
      </w:r>
    </w:p>
    <w:p w14:paraId="59E25B4E" w14:textId="77777777" w:rsidR="00C70A7F" w:rsidRPr="00C67F66" w:rsidRDefault="00000000">
      <w:pPr>
        <w:pStyle w:val="Heading4"/>
        <w:rPr>
          <w:rFonts w:ascii="Garamond" w:hAnsi="Garamond"/>
          <w:b/>
          <w:bCs/>
          <w:sz w:val="28"/>
          <w:szCs w:val="28"/>
        </w:rPr>
      </w:pPr>
      <w:bookmarkStart w:id="43" w:name="week-4-neo-assimilation-theory"/>
      <w:r w:rsidRPr="00C67F66">
        <w:rPr>
          <w:rFonts w:ascii="Garamond" w:hAnsi="Garamond"/>
          <w:b/>
          <w:bCs/>
          <w:sz w:val="28"/>
          <w:szCs w:val="28"/>
        </w:rPr>
        <w:t>Week 4: Neo-Assimilation Theory</w:t>
      </w:r>
    </w:p>
    <w:p w14:paraId="5BD5A3D0" w14:textId="77777777" w:rsidR="00C70A7F" w:rsidRPr="00B119AF" w:rsidRDefault="00000000">
      <w:pPr>
        <w:pStyle w:val="Heading6"/>
        <w:rPr>
          <w:rFonts w:ascii="Garamond" w:hAnsi="Garamond"/>
        </w:rPr>
      </w:pPr>
      <w:bookmarkStart w:id="44" w:name="X574c2c0db0232d81af42292f7138581f051c58f"/>
      <w:r w:rsidRPr="00B119AF">
        <w:rPr>
          <w:rFonts w:ascii="Garamond" w:hAnsi="Garamond"/>
        </w:rPr>
        <w:t xml:space="preserve"> September 22</w:t>
      </w:r>
      <w:r w:rsidRPr="00B119AF">
        <w:rPr>
          <w:rFonts w:ascii="Garamond" w:hAnsi="Garamond"/>
          <w:vertAlign w:val="superscript"/>
        </w:rPr>
        <w:t>nd</w:t>
      </w:r>
      <w:r w:rsidRPr="00B119AF">
        <w:rPr>
          <w:rFonts w:ascii="Garamond" w:hAnsi="Garamond"/>
        </w:rPr>
        <w:t xml:space="preserve"> &amp; September 24</w:t>
      </w:r>
      <w:r w:rsidRPr="00B119AF">
        <w:rPr>
          <w:rFonts w:ascii="Garamond" w:hAnsi="Garamond"/>
          <w:vertAlign w:val="superscript"/>
        </w:rPr>
        <w:t>th</w:t>
      </w:r>
    </w:p>
    <w:p w14:paraId="2DFA52A8" w14:textId="77777777" w:rsidR="00C70A7F" w:rsidRPr="00B119AF" w:rsidRDefault="00000000">
      <w:pPr>
        <w:pStyle w:val="Heading3"/>
        <w:rPr>
          <w:rFonts w:ascii="Garamond" w:hAnsi="Garamond"/>
          <w:sz w:val="24"/>
          <w:szCs w:val="24"/>
        </w:rPr>
      </w:pPr>
      <w:bookmarkStart w:id="45" w:name="_Toc238577232"/>
      <w:bookmarkEnd w:id="43"/>
      <w:bookmarkEnd w:id="44"/>
      <w:r w:rsidRPr="00B119AF">
        <w:rPr>
          <w:rFonts w:ascii="Garamond" w:hAnsi="Garamond"/>
          <w:sz w:val="24"/>
          <w:szCs w:val="24"/>
        </w:rPr>
        <w:t>Lecture 1</w:t>
      </w:r>
      <w:bookmarkEnd w:id="45"/>
    </w:p>
    <w:p w14:paraId="7741C6AD" w14:textId="77777777" w:rsidR="00C70A7F" w:rsidRPr="00B119AF" w:rsidRDefault="00000000">
      <w:pPr>
        <w:pStyle w:val="FirstParagraph"/>
        <w:rPr>
          <w:rFonts w:ascii="Garamond" w:hAnsi="Garamond"/>
        </w:rPr>
      </w:pPr>
      <w:r w:rsidRPr="00B119AF">
        <w:rPr>
          <w:rFonts w:ascii="Garamond" w:hAnsi="Garamond"/>
          <w:i/>
          <w:iCs/>
        </w:rPr>
        <w:t>Remaking the American Mainstream</w:t>
      </w:r>
      <w:r w:rsidRPr="00B119AF">
        <w:rPr>
          <w:rFonts w:ascii="Garamond" w:hAnsi="Garamond"/>
        </w:rPr>
        <w:t xml:space="preserve">  (Alba and Nee 2003)</w:t>
      </w:r>
    </w:p>
    <w:p w14:paraId="316FDE46" w14:textId="77777777" w:rsidR="00C70A7F" w:rsidRPr="00B119AF" w:rsidRDefault="00000000">
      <w:pPr>
        <w:pStyle w:val="Compact"/>
        <w:numPr>
          <w:ilvl w:val="0"/>
          <w:numId w:val="10"/>
        </w:numPr>
        <w:rPr>
          <w:rFonts w:ascii="Garamond" w:hAnsi="Garamond"/>
        </w:rPr>
      </w:pPr>
      <w:r w:rsidRPr="00B119AF">
        <w:rPr>
          <w:rFonts w:ascii="Garamond" w:hAnsi="Garamond"/>
        </w:rPr>
        <w:t>Chapter 2</w:t>
      </w:r>
    </w:p>
    <w:p w14:paraId="2BAEEDD6" w14:textId="77777777" w:rsidR="00C70A7F" w:rsidRPr="00B119AF" w:rsidRDefault="00000000">
      <w:pPr>
        <w:pStyle w:val="Heading3"/>
        <w:rPr>
          <w:rFonts w:ascii="Garamond" w:hAnsi="Garamond"/>
          <w:sz w:val="24"/>
          <w:szCs w:val="24"/>
        </w:rPr>
      </w:pPr>
      <w:bookmarkStart w:id="46" w:name="_Toc238577233"/>
      <w:r w:rsidRPr="00B119AF">
        <w:rPr>
          <w:rFonts w:ascii="Garamond" w:hAnsi="Garamond"/>
          <w:sz w:val="24"/>
          <w:szCs w:val="24"/>
        </w:rPr>
        <w:t>Lecture 2</w:t>
      </w:r>
      <w:bookmarkEnd w:id="46"/>
    </w:p>
    <w:p w14:paraId="70E6EC60" w14:textId="77777777" w:rsidR="00C70A7F" w:rsidRPr="00B119AF" w:rsidRDefault="00000000">
      <w:pPr>
        <w:pStyle w:val="FirstParagraph"/>
        <w:rPr>
          <w:rFonts w:ascii="Garamond" w:hAnsi="Garamond"/>
        </w:rPr>
      </w:pPr>
      <w:r w:rsidRPr="00B119AF">
        <w:rPr>
          <w:rFonts w:ascii="Garamond" w:hAnsi="Garamond"/>
          <w:i/>
          <w:iCs/>
        </w:rPr>
        <w:t>Assimilation as Rational Action in Contexts Defined by Institutions and Boundaries</w:t>
      </w:r>
      <w:r w:rsidRPr="00B119AF">
        <w:rPr>
          <w:rFonts w:ascii="Garamond" w:hAnsi="Garamond"/>
        </w:rPr>
        <w:t xml:space="preserve">  (Nee and Alba 2013)</w:t>
      </w:r>
    </w:p>
    <w:p w14:paraId="66072392" w14:textId="77777777" w:rsidR="00C70A7F" w:rsidRPr="00C67F66" w:rsidRDefault="00000000">
      <w:pPr>
        <w:pStyle w:val="Heading4"/>
        <w:rPr>
          <w:rFonts w:ascii="Garamond" w:hAnsi="Garamond"/>
          <w:b/>
          <w:bCs/>
          <w:sz w:val="28"/>
          <w:szCs w:val="28"/>
        </w:rPr>
      </w:pPr>
      <w:bookmarkStart w:id="47" w:name="week-5-segmented-assimilation-theory"/>
      <w:r w:rsidRPr="00C67F66">
        <w:rPr>
          <w:rFonts w:ascii="Garamond" w:hAnsi="Garamond"/>
          <w:b/>
          <w:bCs/>
          <w:sz w:val="28"/>
          <w:szCs w:val="28"/>
        </w:rPr>
        <w:t>Week 5: Segmented Assimilation Theory</w:t>
      </w:r>
    </w:p>
    <w:p w14:paraId="3AEC8C41" w14:textId="77777777" w:rsidR="00C70A7F" w:rsidRPr="00B119AF" w:rsidRDefault="00000000">
      <w:pPr>
        <w:pStyle w:val="Heading6"/>
        <w:rPr>
          <w:rFonts w:ascii="Garamond" w:hAnsi="Garamond"/>
        </w:rPr>
      </w:pPr>
      <w:bookmarkStart w:id="48" w:name="X3118eed07319c2234e68b613016c4b5e0698452"/>
      <w:r w:rsidRPr="00B119AF">
        <w:rPr>
          <w:rFonts w:ascii="Garamond" w:hAnsi="Garamond"/>
        </w:rPr>
        <w:t xml:space="preserve"> September 29</w:t>
      </w:r>
      <w:r w:rsidRPr="00B119AF">
        <w:rPr>
          <w:rFonts w:ascii="Garamond" w:hAnsi="Garamond"/>
          <w:vertAlign w:val="superscript"/>
        </w:rPr>
        <w:t>th</w:t>
      </w:r>
      <w:r w:rsidRPr="00B119AF">
        <w:rPr>
          <w:rFonts w:ascii="Garamond" w:hAnsi="Garamond"/>
        </w:rPr>
        <w:t xml:space="preserve"> &amp; October 1</w:t>
      </w:r>
      <w:r w:rsidRPr="00B119AF">
        <w:rPr>
          <w:rFonts w:ascii="Garamond" w:hAnsi="Garamond"/>
          <w:vertAlign w:val="superscript"/>
        </w:rPr>
        <w:t>st</w:t>
      </w:r>
    </w:p>
    <w:p w14:paraId="1FCD68E4" w14:textId="77777777" w:rsidR="00C70A7F" w:rsidRPr="00B119AF" w:rsidRDefault="00000000">
      <w:pPr>
        <w:pStyle w:val="Heading3"/>
        <w:rPr>
          <w:rFonts w:ascii="Garamond" w:hAnsi="Garamond"/>
          <w:sz w:val="24"/>
          <w:szCs w:val="24"/>
        </w:rPr>
      </w:pPr>
      <w:bookmarkStart w:id="49" w:name="_Toc238577234"/>
      <w:bookmarkEnd w:id="47"/>
      <w:bookmarkEnd w:id="48"/>
      <w:r w:rsidRPr="00B119AF">
        <w:rPr>
          <w:rFonts w:ascii="Garamond" w:hAnsi="Garamond"/>
          <w:sz w:val="24"/>
          <w:szCs w:val="24"/>
        </w:rPr>
        <w:t>Lecture 1</w:t>
      </w:r>
      <w:bookmarkEnd w:id="49"/>
    </w:p>
    <w:p w14:paraId="263DAD0D" w14:textId="77777777" w:rsidR="00C70A7F" w:rsidRPr="00B119AF" w:rsidRDefault="00000000">
      <w:pPr>
        <w:pStyle w:val="FirstParagraph"/>
        <w:rPr>
          <w:rFonts w:ascii="Garamond" w:hAnsi="Garamond"/>
        </w:rPr>
      </w:pPr>
      <w:r w:rsidRPr="00B119AF">
        <w:rPr>
          <w:rFonts w:ascii="Garamond" w:hAnsi="Garamond"/>
          <w:i/>
          <w:iCs/>
        </w:rPr>
        <w:t>The New Second Generation: Segmented Assimilation and its Variants</w:t>
      </w:r>
      <w:r w:rsidRPr="00B119AF">
        <w:rPr>
          <w:rFonts w:ascii="Garamond" w:hAnsi="Garamond"/>
        </w:rPr>
        <w:t xml:space="preserve">  (Portes and Zhou 1993)</w:t>
      </w:r>
    </w:p>
    <w:p w14:paraId="2724845F" w14:textId="77777777" w:rsidR="00C70A7F" w:rsidRPr="00B119AF" w:rsidRDefault="00000000">
      <w:pPr>
        <w:pStyle w:val="Heading3"/>
        <w:rPr>
          <w:rFonts w:ascii="Garamond" w:hAnsi="Garamond"/>
          <w:sz w:val="24"/>
          <w:szCs w:val="24"/>
        </w:rPr>
      </w:pPr>
      <w:bookmarkStart w:id="50" w:name="_Toc238577235"/>
      <w:r w:rsidRPr="00B119AF">
        <w:rPr>
          <w:rFonts w:ascii="Garamond" w:hAnsi="Garamond"/>
          <w:sz w:val="24"/>
          <w:szCs w:val="24"/>
        </w:rPr>
        <w:t>Lecture 2</w:t>
      </w:r>
      <w:bookmarkEnd w:id="50"/>
    </w:p>
    <w:p w14:paraId="3EF6F047" w14:textId="77777777" w:rsidR="00C70A7F" w:rsidRPr="00B119AF" w:rsidRDefault="00000000">
      <w:pPr>
        <w:pStyle w:val="FirstParagraph"/>
        <w:rPr>
          <w:rFonts w:ascii="Garamond" w:hAnsi="Garamond"/>
        </w:rPr>
      </w:pPr>
      <w:r w:rsidRPr="00B119AF">
        <w:rPr>
          <w:rFonts w:ascii="Garamond" w:hAnsi="Garamond"/>
          <w:i/>
          <w:iCs/>
        </w:rPr>
        <w:t>Legacies: The Story of the Immigrant Second Generation</w:t>
      </w:r>
      <w:r w:rsidRPr="00B119AF">
        <w:rPr>
          <w:rFonts w:ascii="Garamond" w:hAnsi="Garamond"/>
        </w:rPr>
        <w:t xml:space="preserve">  (Portes and Rumbaut 2001)</w:t>
      </w:r>
    </w:p>
    <w:p w14:paraId="226C9D60" w14:textId="77777777" w:rsidR="00C70A7F" w:rsidRPr="00B119AF" w:rsidRDefault="00000000">
      <w:pPr>
        <w:pStyle w:val="Compact"/>
        <w:numPr>
          <w:ilvl w:val="0"/>
          <w:numId w:val="11"/>
        </w:numPr>
        <w:rPr>
          <w:rFonts w:ascii="Garamond" w:hAnsi="Garamond"/>
        </w:rPr>
      </w:pPr>
      <w:r w:rsidRPr="00B119AF">
        <w:rPr>
          <w:rFonts w:ascii="Garamond" w:hAnsi="Garamond"/>
        </w:rPr>
        <w:t>Chapter 3</w:t>
      </w:r>
    </w:p>
    <w:p w14:paraId="3BDE2D96" w14:textId="77777777" w:rsidR="00C70A7F" w:rsidRPr="00C67F66" w:rsidRDefault="00000000">
      <w:pPr>
        <w:pStyle w:val="Heading4"/>
        <w:rPr>
          <w:rFonts w:ascii="Garamond" w:hAnsi="Garamond"/>
          <w:b/>
          <w:bCs/>
          <w:sz w:val="28"/>
          <w:szCs w:val="28"/>
        </w:rPr>
      </w:pPr>
      <w:bookmarkStart w:id="51" w:name="week-6-acculturation"/>
      <w:r w:rsidRPr="00C67F66">
        <w:rPr>
          <w:rFonts w:ascii="Garamond" w:hAnsi="Garamond"/>
          <w:b/>
          <w:bCs/>
          <w:sz w:val="28"/>
          <w:szCs w:val="28"/>
        </w:rPr>
        <w:t>Week 6: Acculturation</w:t>
      </w:r>
    </w:p>
    <w:p w14:paraId="5587B8CB" w14:textId="77777777" w:rsidR="00C70A7F" w:rsidRPr="00B119AF" w:rsidRDefault="00000000">
      <w:pPr>
        <w:pStyle w:val="Heading6"/>
        <w:rPr>
          <w:rFonts w:ascii="Garamond" w:hAnsi="Garamond"/>
        </w:rPr>
      </w:pPr>
      <w:bookmarkStart w:id="52" w:name="X471e4a01a1e050d809f65c1cb7033b58e20c96b"/>
      <w:r w:rsidRPr="00B119AF">
        <w:rPr>
          <w:rFonts w:ascii="Garamond" w:hAnsi="Garamond"/>
        </w:rPr>
        <w:t xml:space="preserve"> October 6</w:t>
      </w:r>
      <w:r w:rsidRPr="00B119AF">
        <w:rPr>
          <w:rFonts w:ascii="Garamond" w:hAnsi="Garamond"/>
          <w:vertAlign w:val="superscript"/>
        </w:rPr>
        <w:t>th</w:t>
      </w:r>
      <w:r w:rsidRPr="00B119AF">
        <w:rPr>
          <w:rFonts w:ascii="Garamond" w:hAnsi="Garamond"/>
        </w:rPr>
        <w:t xml:space="preserve"> &amp; October 8</w:t>
      </w:r>
      <w:r w:rsidRPr="00B119AF">
        <w:rPr>
          <w:rFonts w:ascii="Garamond" w:hAnsi="Garamond"/>
          <w:vertAlign w:val="superscript"/>
        </w:rPr>
        <w:t>th</w:t>
      </w:r>
    </w:p>
    <w:p w14:paraId="52C933C3" w14:textId="77777777" w:rsidR="00C70A7F" w:rsidRPr="00B119AF" w:rsidRDefault="00000000">
      <w:pPr>
        <w:pStyle w:val="Heading3"/>
        <w:rPr>
          <w:rFonts w:ascii="Garamond" w:hAnsi="Garamond"/>
          <w:sz w:val="24"/>
          <w:szCs w:val="24"/>
        </w:rPr>
      </w:pPr>
      <w:bookmarkStart w:id="53" w:name="_Toc238577236"/>
      <w:bookmarkEnd w:id="51"/>
      <w:bookmarkEnd w:id="52"/>
      <w:r w:rsidRPr="00B119AF">
        <w:rPr>
          <w:rFonts w:ascii="Garamond" w:hAnsi="Garamond"/>
          <w:sz w:val="24"/>
          <w:szCs w:val="24"/>
        </w:rPr>
        <w:t>Lecture 1</w:t>
      </w:r>
      <w:bookmarkEnd w:id="53"/>
    </w:p>
    <w:p w14:paraId="0BD3AEE3" w14:textId="77777777" w:rsidR="00C70A7F" w:rsidRPr="00B119AF" w:rsidRDefault="00000000">
      <w:pPr>
        <w:pStyle w:val="FirstParagraph"/>
        <w:rPr>
          <w:rFonts w:ascii="Garamond" w:hAnsi="Garamond"/>
        </w:rPr>
      </w:pPr>
      <w:r w:rsidRPr="00B119AF">
        <w:rPr>
          <w:rFonts w:ascii="Garamond" w:hAnsi="Garamond"/>
          <w:i/>
          <w:iCs/>
        </w:rPr>
        <w:t>Memorandum for the Study of Acculturation</w:t>
      </w:r>
      <w:r w:rsidRPr="00B119AF">
        <w:rPr>
          <w:rFonts w:ascii="Garamond" w:hAnsi="Garamond"/>
        </w:rPr>
        <w:t xml:space="preserve">  (Redfield et al. 1936)</w:t>
      </w:r>
    </w:p>
    <w:p w14:paraId="52E8F548" w14:textId="77777777" w:rsidR="00C70A7F" w:rsidRPr="00B119AF" w:rsidRDefault="00000000">
      <w:pPr>
        <w:pStyle w:val="BodyText"/>
        <w:rPr>
          <w:rFonts w:ascii="Garamond" w:hAnsi="Garamond"/>
        </w:rPr>
      </w:pPr>
      <w:r w:rsidRPr="00B119AF">
        <w:rPr>
          <w:rFonts w:ascii="Garamond" w:hAnsi="Garamond"/>
          <w:i/>
          <w:iCs/>
        </w:rPr>
        <w:t>Theories and Models of Acculturation</w:t>
      </w:r>
      <w:r w:rsidRPr="00B119AF">
        <w:rPr>
          <w:rFonts w:ascii="Garamond" w:hAnsi="Garamond"/>
        </w:rPr>
        <w:t xml:space="preserve">  (Berry 2017)</w:t>
      </w:r>
    </w:p>
    <w:p w14:paraId="4E16BB8C" w14:textId="77777777" w:rsidR="00C70A7F" w:rsidRPr="00B119AF" w:rsidRDefault="00000000">
      <w:pPr>
        <w:pStyle w:val="Heading3"/>
        <w:rPr>
          <w:rFonts w:ascii="Garamond" w:hAnsi="Garamond"/>
          <w:sz w:val="24"/>
          <w:szCs w:val="24"/>
        </w:rPr>
      </w:pPr>
      <w:bookmarkStart w:id="54" w:name="_Toc238577237"/>
      <w:r w:rsidRPr="00B119AF">
        <w:rPr>
          <w:rFonts w:ascii="Garamond" w:hAnsi="Garamond"/>
          <w:sz w:val="24"/>
          <w:szCs w:val="24"/>
        </w:rPr>
        <w:lastRenderedPageBreak/>
        <w:t>Lecture 2</w:t>
      </w:r>
      <w:bookmarkEnd w:id="54"/>
    </w:p>
    <w:p w14:paraId="5925D561" w14:textId="77777777" w:rsidR="00C70A7F" w:rsidRPr="00B119AF" w:rsidRDefault="00000000">
      <w:pPr>
        <w:pStyle w:val="FirstParagraph"/>
        <w:rPr>
          <w:rFonts w:ascii="Garamond" w:hAnsi="Garamond"/>
        </w:rPr>
      </w:pPr>
      <w:r w:rsidRPr="00B119AF">
        <w:rPr>
          <w:rFonts w:ascii="Garamond" w:hAnsi="Garamond"/>
          <w:i/>
          <w:iCs/>
        </w:rPr>
        <w:t>The Psychology of Ethnic Groups in the United States</w:t>
      </w:r>
      <w:r w:rsidRPr="00B119AF">
        <w:rPr>
          <w:rFonts w:ascii="Garamond" w:hAnsi="Garamond"/>
        </w:rPr>
        <w:t xml:space="preserve">  (Organista et al. 2010)</w:t>
      </w:r>
    </w:p>
    <w:p w14:paraId="1B77DD2E" w14:textId="77777777" w:rsidR="00C70A7F" w:rsidRPr="00B119AF" w:rsidRDefault="00000000">
      <w:pPr>
        <w:pStyle w:val="Compact"/>
        <w:numPr>
          <w:ilvl w:val="0"/>
          <w:numId w:val="12"/>
        </w:numPr>
        <w:rPr>
          <w:rFonts w:ascii="Garamond" w:hAnsi="Garamond"/>
        </w:rPr>
      </w:pPr>
      <w:r w:rsidRPr="00B119AF">
        <w:rPr>
          <w:rFonts w:ascii="Garamond" w:hAnsi="Garamond"/>
        </w:rPr>
        <w:t>Chapter 4</w:t>
      </w:r>
    </w:p>
    <w:p w14:paraId="606CF99D" w14:textId="77777777" w:rsidR="00C70A7F" w:rsidRPr="00B119AF" w:rsidRDefault="00000000">
      <w:pPr>
        <w:pStyle w:val="Compact"/>
        <w:numPr>
          <w:ilvl w:val="1"/>
          <w:numId w:val="13"/>
        </w:numPr>
        <w:rPr>
          <w:rFonts w:ascii="Garamond" w:hAnsi="Garamond"/>
        </w:rPr>
      </w:pPr>
      <w:r w:rsidRPr="00B119AF">
        <w:rPr>
          <w:rFonts w:ascii="Garamond" w:hAnsi="Garamond"/>
        </w:rPr>
        <w:t>Pp. 99-118</w:t>
      </w:r>
    </w:p>
    <w:p w14:paraId="4FB0D5F3" w14:textId="77777777" w:rsidR="00C70A7F" w:rsidRPr="00B119AF" w:rsidRDefault="00000000">
      <w:pPr>
        <w:pStyle w:val="FirstParagraph"/>
        <w:rPr>
          <w:rFonts w:ascii="Garamond" w:hAnsi="Garamond"/>
        </w:rPr>
      </w:pPr>
      <w:r w:rsidRPr="00B119AF">
        <w:rPr>
          <w:rFonts w:ascii="Garamond" w:hAnsi="Garamond"/>
          <w:i/>
          <w:iCs/>
        </w:rPr>
        <w:t>Rethinking the Concept of Acculturation</w:t>
      </w:r>
      <w:r w:rsidRPr="00B119AF">
        <w:rPr>
          <w:rFonts w:ascii="Garamond" w:hAnsi="Garamond"/>
        </w:rPr>
        <w:t xml:space="preserve">  (Schwartz et al. 2010)</w:t>
      </w:r>
    </w:p>
    <w:p w14:paraId="4E0CA3EB" w14:textId="77777777" w:rsidR="00C70A7F" w:rsidRPr="00C67F66" w:rsidRDefault="00000000">
      <w:pPr>
        <w:pStyle w:val="Heading4"/>
        <w:rPr>
          <w:rFonts w:ascii="Garamond" w:hAnsi="Garamond"/>
          <w:b/>
          <w:bCs/>
          <w:sz w:val="28"/>
          <w:szCs w:val="28"/>
        </w:rPr>
      </w:pPr>
      <w:bookmarkStart w:id="55" w:name="week-7-boundary-making"/>
      <w:r w:rsidRPr="00C67F66">
        <w:rPr>
          <w:rFonts w:ascii="Garamond" w:hAnsi="Garamond"/>
          <w:b/>
          <w:bCs/>
          <w:sz w:val="28"/>
          <w:szCs w:val="28"/>
        </w:rPr>
        <w:t>Week 7: Boundary-Making</w:t>
      </w:r>
    </w:p>
    <w:p w14:paraId="55F943A3" w14:textId="77777777" w:rsidR="00C70A7F" w:rsidRPr="00B119AF" w:rsidRDefault="00000000">
      <w:pPr>
        <w:pStyle w:val="Heading6"/>
        <w:rPr>
          <w:rFonts w:ascii="Garamond" w:hAnsi="Garamond"/>
        </w:rPr>
      </w:pPr>
      <w:bookmarkStart w:id="56" w:name="X86541072888c5f4ec008a41fa35b56155388177"/>
      <w:r w:rsidRPr="00B119AF">
        <w:rPr>
          <w:rFonts w:ascii="Garamond" w:hAnsi="Garamond"/>
        </w:rPr>
        <w:t xml:space="preserve"> October 15</w:t>
      </w:r>
      <w:r w:rsidRPr="00B119AF">
        <w:rPr>
          <w:rFonts w:ascii="Garamond" w:hAnsi="Garamond"/>
          <w:vertAlign w:val="superscript"/>
        </w:rPr>
        <w:t>th</w:t>
      </w:r>
    </w:p>
    <w:p w14:paraId="56A4B92D" w14:textId="77777777" w:rsidR="00C70A7F" w:rsidRPr="00B119AF" w:rsidRDefault="00000000">
      <w:pPr>
        <w:pStyle w:val="Heading3"/>
        <w:rPr>
          <w:rFonts w:ascii="Garamond" w:hAnsi="Garamond"/>
          <w:sz w:val="24"/>
          <w:szCs w:val="24"/>
        </w:rPr>
      </w:pPr>
      <w:bookmarkStart w:id="57" w:name="_Toc238577238"/>
      <w:bookmarkEnd w:id="55"/>
      <w:bookmarkEnd w:id="56"/>
      <w:r w:rsidRPr="00B119AF">
        <w:rPr>
          <w:rFonts w:ascii="Garamond" w:hAnsi="Garamond"/>
          <w:sz w:val="24"/>
          <w:szCs w:val="24"/>
        </w:rPr>
        <w:t>Sole Lecture</w:t>
      </w:r>
      <w:bookmarkEnd w:id="57"/>
    </w:p>
    <w:p w14:paraId="0860E1F2" w14:textId="77777777" w:rsidR="00C70A7F" w:rsidRPr="00B119AF" w:rsidRDefault="00000000">
      <w:pPr>
        <w:pStyle w:val="FirstParagraph"/>
        <w:rPr>
          <w:rFonts w:ascii="Garamond" w:hAnsi="Garamond"/>
        </w:rPr>
      </w:pPr>
      <w:r w:rsidRPr="00B119AF">
        <w:rPr>
          <w:rFonts w:ascii="Garamond" w:hAnsi="Garamond"/>
          <w:i/>
          <w:iCs/>
        </w:rPr>
        <w:t>Why Islam Is Like Spanish: Cultural Incorporation in Europe and the United States</w:t>
      </w:r>
      <w:r w:rsidRPr="00B119AF">
        <w:rPr>
          <w:rFonts w:ascii="Garamond" w:hAnsi="Garamond"/>
        </w:rPr>
        <w:t xml:space="preserve">  (Zolberg and Woon 1999)</w:t>
      </w:r>
    </w:p>
    <w:p w14:paraId="07C8B84A" w14:textId="77777777" w:rsidR="00C70A7F" w:rsidRPr="00B119AF" w:rsidRDefault="00000000">
      <w:pPr>
        <w:pStyle w:val="BodyText"/>
        <w:rPr>
          <w:rFonts w:ascii="Garamond" w:hAnsi="Garamond"/>
        </w:rPr>
      </w:pPr>
      <w:r w:rsidRPr="00B119AF">
        <w:rPr>
          <w:rFonts w:ascii="Garamond" w:hAnsi="Garamond"/>
          <w:i/>
          <w:iCs/>
        </w:rPr>
        <w:t>Bright vs. Blurred Boundaries: Second-Generation Assimilation and Exclusion in France, Germany, and the United States</w:t>
      </w:r>
      <w:r w:rsidRPr="00B119AF">
        <w:rPr>
          <w:rFonts w:ascii="Garamond" w:hAnsi="Garamond"/>
        </w:rPr>
        <w:t xml:space="preserve"> (Alba 2005)</w:t>
      </w:r>
    </w:p>
    <w:p w14:paraId="3A52AB47" w14:textId="77777777" w:rsidR="00C70A7F" w:rsidRPr="00B119AF" w:rsidRDefault="00000000">
      <w:pPr>
        <w:pStyle w:val="BodyText"/>
        <w:rPr>
          <w:rFonts w:ascii="Garamond" w:hAnsi="Garamond"/>
        </w:rPr>
      </w:pPr>
      <w:r w:rsidRPr="00B119AF">
        <w:rPr>
          <w:rFonts w:ascii="Garamond" w:hAnsi="Garamond"/>
          <w:i/>
          <w:iCs/>
          <w:highlight w:val="lightGray"/>
        </w:rPr>
        <w:t>Claiming Membership: Boundaries, Positionality, US Citizenship, and What It Meansto Be American</w:t>
      </w:r>
      <w:r w:rsidRPr="00B119AF">
        <w:rPr>
          <w:rFonts w:ascii="Garamond" w:hAnsi="Garamond"/>
          <w:highlight w:val="lightGray"/>
        </w:rPr>
        <w:t xml:space="preserve"> (Bloemraad 2022)</w:t>
      </w:r>
    </w:p>
    <w:p w14:paraId="108185B5" w14:textId="77777777" w:rsidR="00C70A7F" w:rsidRPr="00C67F66" w:rsidRDefault="00000000">
      <w:pPr>
        <w:pStyle w:val="Heading4"/>
        <w:rPr>
          <w:rFonts w:ascii="Garamond" w:hAnsi="Garamond"/>
          <w:b/>
          <w:bCs/>
          <w:sz w:val="28"/>
          <w:szCs w:val="28"/>
        </w:rPr>
      </w:pPr>
      <w:bookmarkStart w:id="58" w:name="week8"/>
      <w:r w:rsidRPr="00C67F66">
        <w:rPr>
          <w:rFonts w:ascii="Garamond" w:hAnsi="Garamond"/>
          <w:b/>
          <w:bCs/>
          <w:sz w:val="28"/>
          <w:szCs w:val="28"/>
        </w:rPr>
        <w:t>Week 8: Midterm Exam</w:t>
      </w:r>
    </w:p>
    <w:p w14:paraId="53F32C19" w14:textId="77777777" w:rsidR="00C70A7F" w:rsidRPr="00B119AF" w:rsidRDefault="00000000">
      <w:pPr>
        <w:pStyle w:val="Heading6"/>
        <w:rPr>
          <w:rFonts w:ascii="Garamond" w:hAnsi="Garamond"/>
        </w:rPr>
      </w:pPr>
      <w:bookmarkStart w:id="59" w:name="X1863e8ed15ed4c60fd75fbb2a225ac1fdc24f00"/>
      <w:r w:rsidRPr="00B119AF">
        <w:rPr>
          <w:rFonts w:ascii="Garamond" w:hAnsi="Garamond"/>
        </w:rPr>
        <w:t xml:space="preserve"> October 20</w:t>
      </w:r>
      <w:r w:rsidRPr="00B119AF">
        <w:rPr>
          <w:rFonts w:ascii="Garamond" w:hAnsi="Garamond"/>
          <w:vertAlign w:val="superscript"/>
        </w:rPr>
        <w:t>th</w:t>
      </w:r>
      <w:r w:rsidRPr="00B119AF">
        <w:rPr>
          <w:rFonts w:ascii="Garamond" w:hAnsi="Garamond"/>
        </w:rPr>
        <w:t xml:space="preserve"> &amp; October 22</w:t>
      </w:r>
      <w:r w:rsidRPr="00B119AF">
        <w:rPr>
          <w:rFonts w:ascii="Garamond" w:hAnsi="Garamond"/>
          <w:vertAlign w:val="superscript"/>
        </w:rPr>
        <w:t>nd</w:t>
      </w:r>
    </w:p>
    <w:p w14:paraId="32EF8F87" w14:textId="77777777" w:rsidR="00C70A7F" w:rsidRPr="00B119AF" w:rsidRDefault="00000000">
      <w:pPr>
        <w:pStyle w:val="FirstParagraph"/>
        <w:rPr>
          <w:rFonts w:ascii="Garamond" w:hAnsi="Garamond"/>
        </w:rPr>
      </w:pPr>
      <w:r w:rsidRPr="00B119AF">
        <w:rPr>
          <w:rFonts w:ascii="Garamond" w:hAnsi="Garamond"/>
          <w:i/>
          <w:iCs/>
        </w:rPr>
        <w:t>No Assigned Readings</w:t>
      </w:r>
      <w:r w:rsidRPr="00B119AF">
        <w:rPr>
          <w:rFonts w:ascii="Garamond" w:hAnsi="Garamond"/>
        </w:rPr>
        <w:t>.</w:t>
      </w:r>
    </w:p>
    <w:tbl>
      <w:tblPr>
        <w:tblStyle w:val="Table"/>
        <w:tblW w:w="0" w:type="auto"/>
        <w:tblBorders>
          <w:top w:val="single" w:sz="4" w:space="0" w:color="CC1914"/>
          <w:left w:val="single" w:sz="24" w:space="0" w:color="CC1914"/>
          <w:bottom w:val="single" w:sz="4" w:space="0" w:color="CC1914"/>
          <w:right w:val="single" w:sz="4" w:space="0" w:color="CC1914"/>
        </w:tblBorders>
        <w:tblCellMar>
          <w:left w:w="144" w:type="dxa"/>
          <w:right w:w="144" w:type="dxa"/>
        </w:tblCellMar>
        <w:tblLook w:val="0000" w:firstRow="0" w:lastRow="0" w:firstColumn="0" w:lastColumn="0" w:noHBand="0" w:noVBand="0"/>
      </w:tblPr>
      <w:tblGrid>
        <w:gridCol w:w="9648"/>
      </w:tblGrid>
      <w:tr w:rsidR="00C70A7F" w:rsidRPr="00B119AF" w14:paraId="6928EE0A" w14:textId="77777777" w:rsidTr="00C70A7F">
        <w:trPr>
          <w:cantSplit/>
        </w:trPr>
        <w:tc>
          <w:tcPr>
            <w:tcW w:w="0" w:type="auto"/>
            <w:shd w:val="clear" w:color="auto" w:fill="F7DDDC"/>
            <w:tcMar>
              <w:top w:w="92" w:type="dxa"/>
              <w:bottom w:w="92" w:type="dxa"/>
            </w:tcMar>
          </w:tcPr>
          <w:p w14:paraId="2B61FCB8" w14:textId="77777777" w:rsidR="00C70A7F" w:rsidRPr="00B119AF" w:rsidRDefault="00000000">
            <w:pPr>
              <w:pStyle w:val="BodyText"/>
              <w:spacing w:before="0" w:after="0"/>
              <w:textAlignment w:val="center"/>
              <w:rPr>
                <w:rFonts w:ascii="Garamond" w:hAnsi="Garamond"/>
              </w:rPr>
            </w:pPr>
            <w:r w:rsidRPr="00B119AF">
              <w:rPr>
                <w:rFonts w:ascii="Garamond" w:hAnsi="Garamond"/>
                <w:noProof/>
              </w:rPr>
              <w:drawing>
                <wp:inline distT="0" distB="0" distL="0" distR="0" wp14:anchorId="6834B1BA" wp14:editId="48932E0C">
                  <wp:extent cx="152400" cy="152400"/>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73" name="Picture" descr="/Applications/quarto/share/formats/docx/important.png"/>
                          <pic:cNvPicPr>
                            <a:picLocks noChangeAspect="1" noChangeArrowheads="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Midterm Exam Week</w:t>
            </w:r>
          </w:p>
        </w:tc>
      </w:tr>
      <w:tr w:rsidR="00C70A7F" w:rsidRPr="00B119AF" w14:paraId="3E2B523A" w14:textId="77777777" w:rsidTr="00C70A7F">
        <w:trPr>
          <w:cantSplit/>
        </w:trPr>
        <w:tc>
          <w:tcPr>
            <w:tcW w:w="0" w:type="auto"/>
            <w:tcMar>
              <w:top w:w="108" w:type="dxa"/>
              <w:bottom w:w="108" w:type="dxa"/>
            </w:tcMar>
          </w:tcPr>
          <w:p w14:paraId="711B44CD" w14:textId="3C15D92F" w:rsidR="00C70A7F" w:rsidRPr="00B119AF" w:rsidRDefault="00000000" w:rsidP="00B119AF">
            <w:pPr>
              <w:pStyle w:val="BodyText"/>
              <w:spacing w:before="16" w:after="16"/>
              <w:rPr>
                <w:rFonts w:ascii="Garamond" w:hAnsi="Garamond"/>
              </w:rPr>
            </w:pPr>
            <w:r w:rsidRPr="00B119AF">
              <w:rPr>
                <w:rFonts w:ascii="Garamond" w:hAnsi="Garamond"/>
              </w:rPr>
              <w:t>The midterm exam falls on this week. It will be split across two sessions: the first, on October 22</w:t>
            </w:r>
            <w:r w:rsidRPr="00B119AF">
              <w:rPr>
                <w:rFonts w:ascii="Garamond" w:hAnsi="Garamond"/>
                <w:vertAlign w:val="superscript"/>
              </w:rPr>
              <w:t>nd</w:t>
            </w:r>
            <w:r w:rsidRPr="00B119AF">
              <w:rPr>
                <w:rFonts w:ascii="Garamond" w:hAnsi="Garamond"/>
              </w:rPr>
              <w:t xml:space="preserve">, will feature a battery of </w:t>
            </w:r>
            <w:r w:rsidRPr="00B119AF">
              <w:rPr>
                <w:rFonts w:ascii="Garamond" w:hAnsi="Garamond"/>
                <w:b/>
                <w:bCs/>
                <w:i/>
                <w:iCs/>
              </w:rPr>
              <w:t>multiple choice</w:t>
            </w:r>
            <w:r w:rsidRPr="00B119AF">
              <w:rPr>
                <w:rFonts w:ascii="Garamond" w:hAnsi="Garamond"/>
              </w:rPr>
              <w:t xml:space="preserve"> questions; the second, on October 24</w:t>
            </w:r>
            <w:r w:rsidRPr="00B119AF">
              <w:rPr>
                <w:rFonts w:ascii="Garamond" w:hAnsi="Garamond"/>
                <w:vertAlign w:val="superscript"/>
              </w:rPr>
              <w:t>th</w:t>
            </w:r>
            <w:r w:rsidRPr="00B119AF">
              <w:rPr>
                <w:rFonts w:ascii="Garamond" w:hAnsi="Garamond"/>
              </w:rPr>
              <w:t xml:space="preserve">, a series of </w:t>
            </w:r>
            <w:r w:rsidRPr="00B119AF">
              <w:rPr>
                <w:rFonts w:ascii="Garamond" w:hAnsi="Garamond"/>
                <w:b/>
                <w:bCs/>
                <w:i/>
                <w:iCs/>
              </w:rPr>
              <w:t>short-answer</w:t>
            </w:r>
            <w:r w:rsidRPr="00B119AF">
              <w:rPr>
                <w:rFonts w:ascii="Garamond" w:hAnsi="Garamond"/>
              </w:rPr>
              <w:t xml:space="preserve"> questions. Both evaluations will begin at 10:10 AM and end at 11:20 AM. They are not designed to be punitive, and you may finish well before the end of class.</w:t>
            </w:r>
          </w:p>
        </w:tc>
      </w:tr>
    </w:tbl>
    <w:p w14:paraId="1EFE482D" w14:textId="77777777" w:rsidR="00C70A7F" w:rsidRPr="00C67F66" w:rsidRDefault="00000000">
      <w:pPr>
        <w:pStyle w:val="Heading3"/>
        <w:rPr>
          <w:rFonts w:ascii="Garamond" w:hAnsi="Garamond"/>
          <w:sz w:val="32"/>
          <w:szCs w:val="32"/>
        </w:rPr>
      </w:pPr>
      <w:bookmarkStart w:id="60" w:name="_Toc238577239"/>
      <w:bookmarkStart w:id="61" w:name="partii"/>
      <w:bookmarkEnd w:id="58"/>
      <w:bookmarkEnd w:id="59"/>
      <w:r w:rsidRPr="00C67F66">
        <w:rPr>
          <w:rFonts w:ascii="Garamond" w:hAnsi="Garamond"/>
          <w:b/>
          <w:bCs/>
          <w:sz w:val="32"/>
          <w:szCs w:val="32"/>
        </w:rPr>
        <w:t>Part II: Case Studies</w:t>
      </w:r>
      <w:bookmarkEnd w:id="60"/>
    </w:p>
    <w:p w14:paraId="1C23964E" w14:textId="77777777" w:rsidR="00C70A7F" w:rsidRPr="00C67F66" w:rsidRDefault="00000000">
      <w:pPr>
        <w:pStyle w:val="Heading4"/>
        <w:rPr>
          <w:rFonts w:ascii="Garamond" w:hAnsi="Garamond"/>
          <w:b/>
          <w:bCs/>
          <w:sz w:val="28"/>
          <w:szCs w:val="28"/>
        </w:rPr>
      </w:pPr>
      <w:bookmarkStart w:id="62" w:name="X92f6600a6d7bce7001f90fefe0de5bca6d1af52"/>
      <w:r w:rsidRPr="00C67F66">
        <w:rPr>
          <w:rFonts w:ascii="Garamond" w:hAnsi="Garamond"/>
          <w:b/>
          <w:bCs/>
          <w:sz w:val="28"/>
          <w:szCs w:val="28"/>
        </w:rPr>
        <w:t>Week 9: European and Black Immigrants (in the United States)</w:t>
      </w:r>
    </w:p>
    <w:p w14:paraId="1C49EB68" w14:textId="181D1486" w:rsidR="00C70A7F" w:rsidRPr="00B119AF" w:rsidRDefault="00000000">
      <w:pPr>
        <w:pStyle w:val="Heading6"/>
        <w:rPr>
          <w:rFonts w:ascii="Garamond" w:hAnsi="Garamond"/>
        </w:rPr>
      </w:pPr>
      <w:bookmarkStart w:id="63" w:name="Xb3c9564a1f1b3c188b40f69229d4f643a869716"/>
      <w:r w:rsidRPr="00B119AF">
        <w:rPr>
          <w:rFonts w:ascii="Garamond" w:hAnsi="Garamond"/>
        </w:rPr>
        <w:t>October 27</w:t>
      </w:r>
      <w:r w:rsidRPr="00B119AF">
        <w:rPr>
          <w:rFonts w:ascii="Garamond" w:hAnsi="Garamond"/>
          <w:vertAlign w:val="superscript"/>
        </w:rPr>
        <w:t>th</w:t>
      </w:r>
      <w:r w:rsidRPr="00B119AF">
        <w:rPr>
          <w:rFonts w:ascii="Garamond" w:hAnsi="Garamond"/>
        </w:rPr>
        <w:t xml:space="preserve"> &amp; October 29</w:t>
      </w:r>
      <w:r w:rsidRPr="00B119AF">
        <w:rPr>
          <w:rFonts w:ascii="Garamond" w:hAnsi="Garamond"/>
          <w:vertAlign w:val="superscript"/>
        </w:rPr>
        <w:t>th</w:t>
      </w:r>
    </w:p>
    <w:p w14:paraId="5AD8A9AE" w14:textId="77777777" w:rsidR="00C70A7F" w:rsidRPr="00B119AF" w:rsidRDefault="00000000">
      <w:pPr>
        <w:pStyle w:val="Heading3"/>
        <w:rPr>
          <w:rFonts w:ascii="Garamond" w:hAnsi="Garamond"/>
          <w:sz w:val="24"/>
          <w:szCs w:val="24"/>
        </w:rPr>
      </w:pPr>
      <w:bookmarkStart w:id="64" w:name="_Toc238577240"/>
      <w:bookmarkEnd w:id="61"/>
      <w:bookmarkEnd w:id="62"/>
      <w:bookmarkEnd w:id="63"/>
      <w:r w:rsidRPr="00B119AF">
        <w:rPr>
          <w:rFonts w:ascii="Garamond" w:hAnsi="Garamond"/>
          <w:sz w:val="24"/>
          <w:szCs w:val="24"/>
        </w:rPr>
        <w:t>Lecture 1</w:t>
      </w:r>
      <w:bookmarkEnd w:id="64"/>
    </w:p>
    <w:p w14:paraId="44F25B31" w14:textId="77777777" w:rsidR="00C70A7F" w:rsidRPr="00B119AF" w:rsidRDefault="00000000">
      <w:pPr>
        <w:pStyle w:val="FirstParagraph"/>
        <w:rPr>
          <w:rFonts w:ascii="Garamond" w:hAnsi="Garamond"/>
        </w:rPr>
      </w:pPr>
      <w:r w:rsidRPr="00B119AF">
        <w:rPr>
          <w:rFonts w:ascii="Garamond" w:hAnsi="Garamond"/>
          <w:i/>
          <w:iCs/>
        </w:rPr>
        <w:t>Ethnic Options</w:t>
      </w:r>
      <w:r w:rsidRPr="00B119AF">
        <w:rPr>
          <w:rFonts w:ascii="Garamond" w:hAnsi="Garamond"/>
        </w:rPr>
        <w:t xml:space="preserve">  (Waters 1990)</w:t>
      </w:r>
    </w:p>
    <w:p w14:paraId="20A13E9E" w14:textId="77777777" w:rsidR="00C70A7F" w:rsidRPr="00B119AF" w:rsidRDefault="00000000">
      <w:pPr>
        <w:pStyle w:val="Compact"/>
        <w:numPr>
          <w:ilvl w:val="0"/>
          <w:numId w:val="14"/>
        </w:numPr>
        <w:rPr>
          <w:rFonts w:ascii="Garamond" w:hAnsi="Garamond"/>
        </w:rPr>
      </w:pPr>
      <w:r w:rsidRPr="00B119AF">
        <w:rPr>
          <w:rFonts w:ascii="Garamond" w:hAnsi="Garamond"/>
        </w:rPr>
        <w:t>Chapter 2</w:t>
      </w:r>
    </w:p>
    <w:p w14:paraId="64EC08BD" w14:textId="77777777" w:rsidR="00C70A7F" w:rsidRPr="00B119AF" w:rsidRDefault="00000000">
      <w:pPr>
        <w:pStyle w:val="FirstParagraph"/>
        <w:rPr>
          <w:rFonts w:ascii="Garamond" w:hAnsi="Garamond"/>
        </w:rPr>
      </w:pPr>
      <w:r w:rsidRPr="00B119AF">
        <w:rPr>
          <w:rFonts w:ascii="Garamond" w:hAnsi="Garamond"/>
          <w:i/>
          <w:iCs/>
        </w:rPr>
        <w:t>Symbolic Ethnicity: The Future of Ethnic Groups and Cultures in America</w:t>
      </w:r>
      <w:r w:rsidRPr="00B119AF">
        <w:rPr>
          <w:rFonts w:ascii="Garamond" w:hAnsi="Garamond"/>
        </w:rPr>
        <w:t xml:space="preserve">  (Gans 1979)</w:t>
      </w:r>
    </w:p>
    <w:p w14:paraId="4E183697" w14:textId="77777777" w:rsidR="00C70A7F" w:rsidRPr="00B119AF" w:rsidRDefault="00000000">
      <w:pPr>
        <w:pStyle w:val="BodyText"/>
        <w:rPr>
          <w:rFonts w:ascii="Garamond" w:hAnsi="Garamond"/>
        </w:rPr>
      </w:pPr>
      <w:r w:rsidRPr="00B119AF">
        <w:rPr>
          <w:rFonts w:ascii="Garamond" w:hAnsi="Garamond"/>
          <w:i/>
          <w:iCs/>
          <w:highlight w:val="lightGray"/>
        </w:rPr>
        <w:t>The Twilight of Ethnicity Among American Catholics of European Ancestry</w:t>
      </w:r>
      <w:r w:rsidRPr="00B119AF">
        <w:rPr>
          <w:rFonts w:ascii="Garamond" w:hAnsi="Garamond"/>
          <w:highlight w:val="lightGray"/>
        </w:rPr>
        <w:t xml:space="preserve">  (Alba 1981)</w:t>
      </w:r>
    </w:p>
    <w:p w14:paraId="11F32955" w14:textId="77777777" w:rsidR="00C70A7F" w:rsidRPr="00B119AF" w:rsidRDefault="00000000">
      <w:pPr>
        <w:pStyle w:val="Heading3"/>
        <w:rPr>
          <w:rFonts w:ascii="Garamond" w:hAnsi="Garamond"/>
          <w:sz w:val="24"/>
          <w:szCs w:val="24"/>
        </w:rPr>
      </w:pPr>
      <w:bookmarkStart w:id="65" w:name="_Toc238577241"/>
      <w:r w:rsidRPr="00B119AF">
        <w:rPr>
          <w:rFonts w:ascii="Garamond" w:hAnsi="Garamond"/>
          <w:sz w:val="24"/>
          <w:szCs w:val="24"/>
        </w:rPr>
        <w:t>Lecture 2</w:t>
      </w:r>
      <w:bookmarkEnd w:id="65"/>
    </w:p>
    <w:p w14:paraId="388559A0" w14:textId="37656264" w:rsidR="00C70A7F" w:rsidRPr="00B119AF" w:rsidRDefault="00000000">
      <w:pPr>
        <w:pStyle w:val="FirstParagraph"/>
        <w:rPr>
          <w:rFonts w:ascii="Garamond" w:hAnsi="Garamond"/>
        </w:rPr>
      </w:pPr>
      <w:r w:rsidRPr="00B119AF">
        <w:rPr>
          <w:rFonts w:ascii="Garamond" w:hAnsi="Garamond"/>
          <w:i/>
          <w:iCs/>
        </w:rPr>
        <w:t>Black Immigrants and the Changing Portrait of Black America</w:t>
      </w:r>
      <w:r w:rsidR="00B119AF">
        <w:rPr>
          <w:rFonts w:ascii="Garamond" w:hAnsi="Garamond"/>
          <w:i/>
          <w:iCs/>
        </w:rPr>
        <w:t xml:space="preserve"> </w:t>
      </w:r>
      <w:r w:rsidRPr="00B119AF">
        <w:rPr>
          <w:rFonts w:ascii="Garamond" w:hAnsi="Garamond"/>
        </w:rPr>
        <w:t>(Hamilton 2020)</w:t>
      </w:r>
    </w:p>
    <w:p w14:paraId="6ECC2E5B" w14:textId="6872478D" w:rsidR="00C70A7F" w:rsidRDefault="00000000">
      <w:pPr>
        <w:pStyle w:val="BodyText"/>
        <w:rPr>
          <w:rFonts w:ascii="Garamond" w:hAnsi="Garamond"/>
        </w:rPr>
      </w:pPr>
      <w:r w:rsidRPr="00B119AF">
        <w:rPr>
          <w:rFonts w:ascii="Garamond" w:hAnsi="Garamond"/>
          <w:i/>
          <w:iCs/>
        </w:rPr>
        <w:lastRenderedPageBreak/>
        <w:t>The New Noir: Race, Identity, and Diaspora in Black Suburbia</w:t>
      </w:r>
      <w:r w:rsidR="00B119AF">
        <w:rPr>
          <w:rFonts w:ascii="Garamond" w:hAnsi="Garamond"/>
          <w:i/>
          <w:iCs/>
        </w:rPr>
        <w:t xml:space="preserve"> </w:t>
      </w:r>
      <w:r w:rsidRPr="00B119AF">
        <w:rPr>
          <w:rFonts w:ascii="Garamond" w:hAnsi="Garamond"/>
        </w:rPr>
        <w:t>(Clerge 2019)</w:t>
      </w:r>
    </w:p>
    <w:p w14:paraId="3AD81F46" w14:textId="26C57799" w:rsidR="00A42CC1" w:rsidRDefault="00A42CC1" w:rsidP="00A42CC1">
      <w:pPr>
        <w:pStyle w:val="Compact"/>
        <w:numPr>
          <w:ilvl w:val="0"/>
          <w:numId w:val="14"/>
        </w:numPr>
        <w:rPr>
          <w:rFonts w:ascii="Garamond" w:hAnsi="Garamond"/>
        </w:rPr>
      </w:pPr>
      <w:r w:rsidRPr="00B119AF">
        <w:rPr>
          <w:rFonts w:ascii="Garamond" w:hAnsi="Garamond"/>
        </w:rPr>
        <w:t xml:space="preserve">Chapter </w:t>
      </w:r>
      <w:r>
        <w:rPr>
          <w:rFonts w:ascii="Garamond" w:hAnsi="Garamond"/>
        </w:rPr>
        <w:t>1</w:t>
      </w:r>
    </w:p>
    <w:p w14:paraId="4609524B" w14:textId="77777777" w:rsidR="00155A58" w:rsidRDefault="00155A58" w:rsidP="00155A58">
      <w:pPr>
        <w:pStyle w:val="Heading4"/>
        <w:spacing w:before="0" w:after="0"/>
        <w:rPr>
          <w:rFonts w:ascii="Garamond" w:hAnsi="Garamond"/>
          <w:b/>
          <w:bCs/>
          <w:sz w:val="28"/>
          <w:szCs w:val="28"/>
        </w:rPr>
      </w:pPr>
      <w:bookmarkStart w:id="66" w:name="X881ed9cf851f92bfffd735ecc0e52f807a42c17"/>
    </w:p>
    <w:p w14:paraId="2A1B5418" w14:textId="38F910E1" w:rsidR="00C70A7F" w:rsidRPr="00C67F66" w:rsidRDefault="00000000">
      <w:pPr>
        <w:pStyle w:val="Heading4"/>
        <w:rPr>
          <w:rFonts w:ascii="Garamond" w:hAnsi="Garamond"/>
          <w:b/>
          <w:bCs/>
          <w:sz w:val="28"/>
          <w:szCs w:val="28"/>
        </w:rPr>
      </w:pPr>
      <w:r w:rsidRPr="00C67F66">
        <w:rPr>
          <w:rFonts w:ascii="Garamond" w:hAnsi="Garamond"/>
          <w:b/>
          <w:bCs/>
          <w:sz w:val="28"/>
          <w:szCs w:val="28"/>
        </w:rPr>
        <w:t>Week 10: Asian and Latino Immigrants (in the United States)</w:t>
      </w:r>
    </w:p>
    <w:p w14:paraId="7575D9EF" w14:textId="77777777" w:rsidR="00C70A7F" w:rsidRPr="00B119AF" w:rsidRDefault="00000000">
      <w:pPr>
        <w:pStyle w:val="Heading6"/>
        <w:rPr>
          <w:rFonts w:ascii="Garamond" w:hAnsi="Garamond"/>
        </w:rPr>
      </w:pPr>
      <w:bookmarkStart w:id="67" w:name="Xebf7af6859cca7e26da873e76b4fb26af51d395"/>
      <w:r w:rsidRPr="00B119AF">
        <w:rPr>
          <w:rFonts w:ascii="Garamond" w:hAnsi="Garamond"/>
        </w:rPr>
        <w:t xml:space="preserve"> November 3</w:t>
      </w:r>
      <w:r w:rsidRPr="00B119AF">
        <w:rPr>
          <w:rFonts w:ascii="Garamond" w:hAnsi="Garamond"/>
          <w:vertAlign w:val="superscript"/>
        </w:rPr>
        <w:t>rd</w:t>
      </w:r>
      <w:r w:rsidRPr="00B119AF">
        <w:rPr>
          <w:rFonts w:ascii="Garamond" w:hAnsi="Garamond"/>
        </w:rPr>
        <w:t xml:space="preserve"> &amp; November 5</w:t>
      </w:r>
      <w:r w:rsidRPr="00B119AF">
        <w:rPr>
          <w:rFonts w:ascii="Garamond" w:hAnsi="Garamond"/>
          <w:vertAlign w:val="superscript"/>
        </w:rPr>
        <w:t>th</w:t>
      </w:r>
    </w:p>
    <w:p w14:paraId="45368F06" w14:textId="77777777" w:rsidR="00C70A7F" w:rsidRPr="00B119AF" w:rsidRDefault="00000000">
      <w:pPr>
        <w:pStyle w:val="Heading3"/>
        <w:rPr>
          <w:rFonts w:ascii="Garamond" w:hAnsi="Garamond"/>
          <w:sz w:val="24"/>
          <w:szCs w:val="24"/>
        </w:rPr>
      </w:pPr>
      <w:bookmarkStart w:id="68" w:name="_Toc238577242"/>
      <w:bookmarkEnd w:id="66"/>
      <w:bookmarkEnd w:id="67"/>
      <w:r w:rsidRPr="00B119AF">
        <w:rPr>
          <w:rFonts w:ascii="Garamond" w:hAnsi="Garamond"/>
          <w:sz w:val="24"/>
          <w:szCs w:val="24"/>
        </w:rPr>
        <w:t>Lecture 1</w:t>
      </w:r>
      <w:bookmarkEnd w:id="68"/>
    </w:p>
    <w:p w14:paraId="5919B3EB" w14:textId="77777777" w:rsidR="00C70A7F" w:rsidRPr="00B119AF" w:rsidRDefault="00000000">
      <w:pPr>
        <w:pStyle w:val="FirstParagraph"/>
        <w:rPr>
          <w:rFonts w:ascii="Garamond" w:hAnsi="Garamond"/>
        </w:rPr>
      </w:pPr>
      <w:r w:rsidRPr="00B119AF">
        <w:rPr>
          <w:rFonts w:ascii="Garamond" w:hAnsi="Garamond"/>
          <w:i/>
          <w:iCs/>
        </w:rPr>
        <w:t>The Asian American Assimilation Paradox</w:t>
      </w:r>
      <w:r w:rsidRPr="00B119AF">
        <w:rPr>
          <w:rFonts w:ascii="Garamond" w:hAnsi="Garamond"/>
        </w:rPr>
        <w:t xml:space="preserve">  (Lee and Sheng 2024)</w:t>
      </w:r>
    </w:p>
    <w:p w14:paraId="4A1816F0" w14:textId="77777777" w:rsidR="00C70A7F" w:rsidRPr="00B119AF" w:rsidRDefault="00000000">
      <w:pPr>
        <w:pStyle w:val="BodyText"/>
        <w:rPr>
          <w:rFonts w:ascii="Garamond" w:hAnsi="Garamond"/>
        </w:rPr>
      </w:pPr>
      <w:r w:rsidRPr="00B119AF">
        <w:rPr>
          <w:rFonts w:ascii="Garamond" w:hAnsi="Garamond"/>
          <w:i/>
          <w:iCs/>
        </w:rPr>
        <w:t>Racialized Assimilation of Asian Americans</w:t>
      </w:r>
      <w:r w:rsidRPr="00B119AF">
        <w:rPr>
          <w:rFonts w:ascii="Garamond" w:hAnsi="Garamond"/>
        </w:rPr>
        <w:t xml:space="preserve">  (Lee and Kye 2016)</w:t>
      </w:r>
    </w:p>
    <w:p w14:paraId="1934C37E" w14:textId="5C3C3915" w:rsidR="00C70A7F" w:rsidRPr="00B119AF" w:rsidRDefault="00000000">
      <w:pPr>
        <w:pStyle w:val="BodyText"/>
        <w:rPr>
          <w:rFonts w:ascii="Garamond" w:hAnsi="Garamond"/>
          <w:highlight w:val="lightGray"/>
        </w:rPr>
      </w:pPr>
      <w:r w:rsidRPr="00B119AF">
        <w:rPr>
          <w:rFonts w:ascii="Garamond" w:hAnsi="Garamond"/>
          <w:i/>
          <w:iCs/>
          <w:highlight w:val="lightGray"/>
        </w:rPr>
        <w:t>The Asian American Achievement Paradox</w:t>
      </w:r>
      <w:r w:rsidR="00B119AF" w:rsidRPr="00B119AF">
        <w:rPr>
          <w:rFonts w:ascii="Garamond" w:hAnsi="Garamond"/>
          <w:i/>
          <w:iCs/>
          <w:highlight w:val="lightGray"/>
        </w:rPr>
        <w:t xml:space="preserve"> </w:t>
      </w:r>
      <w:r w:rsidRPr="00B119AF">
        <w:rPr>
          <w:rFonts w:ascii="Garamond" w:hAnsi="Garamond"/>
          <w:highlight w:val="lightGray"/>
        </w:rPr>
        <w:t>(Lee and Zhou 2015)</w:t>
      </w:r>
    </w:p>
    <w:p w14:paraId="183C6522" w14:textId="77777777" w:rsidR="00C70A7F" w:rsidRPr="00B119AF" w:rsidRDefault="00000000">
      <w:pPr>
        <w:pStyle w:val="Compact"/>
        <w:numPr>
          <w:ilvl w:val="0"/>
          <w:numId w:val="15"/>
        </w:numPr>
        <w:rPr>
          <w:rFonts w:ascii="Garamond" w:hAnsi="Garamond"/>
          <w:highlight w:val="lightGray"/>
        </w:rPr>
      </w:pPr>
      <w:r w:rsidRPr="00B119AF">
        <w:rPr>
          <w:rFonts w:ascii="Garamond" w:hAnsi="Garamond"/>
          <w:highlight w:val="lightGray"/>
        </w:rPr>
        <w:t>Chapter 9</w:t>
      </w:r>
    </w:p>
    <w:p w14:paraId="60009135" w14:textId="77777777" w:rsidR="00C70A7F" w:rsidRPr="00B119AF" w:rsidRDefault="00000000">
      <w:pPr>
        <w:pStyle w:val="Heading3"/>
        <w:rPr>
          <w:rFonts w:ascii="Garamond" w:hAnsi="Garamond"/>
          <w:sz w:val="24"/>
          <w:szCs w:val="24"/>
        </w:rPr>
      </w:pPr>
      <w:bookmarkStart w:id="69" w:name="_Toc238577243"/>
      <w:r w:rsidRPr="00B119AF">
        <w:rPr>
          <w:rFonts w:ascii="Garamond" w:hAnsi="Garamond"/>
          <w:sz w:val="24"/>
          <w:szCs w:val="24"/>
        </w:rPr>
        <w:t>Lecture 2</w:t>
      </w:r>
      <w:bookmarkEnd w:id="69"/>
    </w:p>
    <w:p w14:paraId="10CF7F84" w14:textId="77777777" w:rsidR="00C70A7F" w:rsidRPr="00B119AF" w:rsidRDefault="00000000">
      <w:pPr>
        <w:pStyle w:val="FirstParagraph"/>
        <w:rPr>
          <w:rFonts w:ascii="Garamond" w:hAnsi="Garamond"/>
        </w:rPr>
      </w:pPr>
      <w:r w:rsidRPr="00B119AF">
        <w:rPr>
          <w:rFonts w:ascii="Garamond" w:hAnsi="Garamond"/>
          <w:i/>
          <w:iCs/>
        </w:rPr>
        <w:t>Who Identifies as “Latinx”? The Generational Politics of Ethnoracial Labels</w:t>
      </w:r>
      <w:r w:rsidRPr="00B119AF">
        <w:rPr>
          <w:rFonts w:ascii="Garamond" w:hAnsi="Garamond"/>
        </w:rPr>
        <w:t xml:space="preserve">  (Mora et al. 2022)</w:t>
      </w:r>
    </w:p>
    <w:p w14:paraId="035B9597" w14:textId="77777777" w:rsidR="00C70A7F" w:rsidRPr="00B119AF" w:rsidRDefault="00000000">
      <w:pPr>
        <w:pStyle w:val="BodyText"/>
        <w:rPr>
          <w:rFonts w:ascii="Garamond" w:hAnsi="Garamond"/>
        </w:rPr>
      </w:pPr>
      <w:r w:rsidRPr="00B119AF">
        <w:rPr>
          <w:rFonts w:ascii="Garamond" w:hAnsi="Garamond"/>
          <w:i/>
          <w:iCs/>
        </w:rPr>
        <w:t>Rock, Rap, or Reggaeton? Assessing Mexican Immigrants’ Cultural Assimilation Using Facebook Data</w:t>
      </w:r>
      <w:r w:rsidRPr="00B119AF">
        <w:rPr>
          <w:rFonts w:ascii="Garamond" w:hAnsi="Garamond"/>
        </w:rPr>
        <w:t xml:space="preserve"> (Stewart et al. 2019)</w:t>
      </w:r>
    </w:p>
    <w:p w14:paraId="6B8682E4" w14:textId="77777777" w:rsidR="00C70A7F" w:rsidRPr="00B119AF" w:rsidRDefault="00000000">
      <w:pPr>
        <w:pStyle w:val="BodyText"/>
        <w:rPr>
          <w:rFonts w:ascii="Garamond" w:hAnsi="Garamond"/>
        </w:rPr>
      </w:pPr>
      <w:r w:rsidRPr="00B119AF">
        <w:rPr>
          <w:rFonts w:ascii="Garamond" w:hAnsi="Garamond"/>
          <w:i/>
          <w:iCs/>
          <w:highlight w:val="lightGray"/>
        </w:rPr>
        <w:t>Contraction as a Response to Group Threat: Demographic Decline and Whites’ Classification of People Who Are Ambiguously White</w:t>
      </w:r>
      <w:r w:rsidRPr="00B119AF">
        <w:rPr>
          <w:rFonts w:ascii="Garamond" w:hAnsi="Garamond"/>
          <w:highlight w:val="lightGray"/>
        </w:rPr>
        <w:t xml:space="preserve"> (Abascal 2020)</w:t>
      </w:r>
    </w:p>
    <w:p w14:paraId="22585825" w14:textId="77777777" w:rsidR="00C70A7F" w:rsidRPr="00C67F66" w:rsidRDefault="00000000">
      <w:pPr>
        <w:pStyle w:val="Heading4"/>
        <w:rPr>
          <w:rFonts w:ascii="Garamond" w:hAnsi="Garamond"/>
          <w:b/>
          <w:bCs/>
          <w:sz w:val="28"/>
          <w:szCs w:val="28"/>
        </w:rPr>
      </w:pPr>
      <w:bookmarkStart w:id="70" w:name="week11"/>
      <w:r w:rsidRPr="00C67F66">
        <w:rPr>
          <w:rFonts w:ascii="Garamond" w:hAnsi="Garamond"/>
          <w:b/>
          <w:bCs/>
          <w:sz w:val="28"/>
          <w:szCs w:val="28"/>
        </w:rPr>
        <w:t>Week 11: The Politics of Immigration (in the United States and Germany)</w:t>
      </w:r>
    </w:p>
    <w:p w14:paraId="323A4BE6" w14:textId="77777777" w:rsidR="00C70A7F" w:rsidRPr="00B119AF" w:rsidRDefault="00000000">
      <w:pPr>
        <w:pStyle w:val="Heading6"/>
        <w:rPr>
          <w:rFonts w:ascii="Garamond" w:hAnsi="Garamond"/>
        </w:rPr>
      </w:pPr>
      <w:bookmarkStart w:id="71" w:name="Xff5d6653dae2696c40c6a1ba54776b02ec4087e"/>
      <w:r w:rsidRPr="00B119AF">
        <w:rPr>
          <w:rFonts w:ascii="Garamond" w:hAnsi="Garamond"/>
        </w:rPr>
        <w:t xml:space="preserve"> November 10</w:t>
      </w:r>
      <w:r w:rsidRPr="00B119AF">
        <w:rPr>
          <w:rFonts w:ascii="Garamond" w:hAnsi="Garamond"/>
          <w:vertAlign w:val="superscript"/>
        </w:rPr>
        <w:t>th</w:t>
      </w:r>
      <w:r w:rsidRPr="00B119AF">
        <w:rPr>
          <w:rFonts w:ascii="Garamond" w:hAnsi="Garamond"/>
        </w:rPr>
        <w:t xml:space="preserve"> &amp; November 12</w:t>
      </w:r>
      <w:r w:rsidRPr="00B119AF">
        <w:rPr>
          <w:rFonts w:ascii="Garamond" w:hAnsi="Garamond"/>
          <w:vertAlign w:val="superscript"/>
        </w:rPr>
        <w:t>th</w:t>
      </w:r>
    </w:p>
    <w:p w14:paraId="017E82D6" w14:textId="77777777" w:rsidR="00C70A7F" w:rsidRPr="00B119AF" w:rsidRDefault="00000000">
      <w:pPr>
        <w:pStyle w:val="Heading3"/>
        <w:rPr>
          <w:rFonts w:ascii="Garamond" w:hAnsi="Garamond"/>
          <w:sz w:val="24"/>
          <w:szCs w:val="24"/>
        </w:rPr>
      </w:pPr>
      <w:bookmarkStart w:id="72" w:name="_Toc238577244"/>
      <w:bookmarkEnd w:id="70"/>
      <w:bookmarkEnd w:id="71"/>
      <w:r w:rsidRPr="00B119AF">
        <w:rPr>
          <w:rFonts w:ascii="Garamond" w:hAnsi="Garamond"/>
          <w:sz w:val="24"/>
          <w:szCs w:val="24"/>
        </w:rPr>
        <w:t>Lecture 1</w:t>
      </w:r>
      <w:bookmarkEnd w:id="72"/>
    </w:p>
    <w:p w14:paraId="6D6DFBC5" w14:textId="77777777" w:rsidR="00C70A7F" w:rsidRPr="00B119AF" w:rsidRDefault="00000000">
      <w:pPr>
        <w:pStyle w:val="FirstParagraph"/>
        <w:rPr>
          <w:rFonts w:ascii="Garamond" w:hAnsi="Garamond"/>
        </w:rPr>
      </w:pPr>
      <w:r w:rsidRPr="00B119AF">
        <w:rPr>
          <w:rFonts w:ascii="Garamond" w:hAnsi="Garamond"/>
          <w:i/>
          <w:iCs/>
        </w:rPr>
        <w:t>Red and Blue Immigrants: Political (Mis)Alignment, Immigration Attitudes, and the Boundaries of American National Inclusion</w:t>
      </w:r>
      <w:r w:rsidRPr="00B119AF">
        <w:rPr>
          <w:rFonts w:ascii="Garamond" w:hAnsi="Garamond"/>
        </w:rPr>
        <w:t xml:space="preserve">  (Okura 2026)</w:t>
      </w:r>
    </w:p>
    <w:p w14:paraId="2F609EF8" w14:textId="77777777" w:rsidR="00C70A7F" w:rsidRPr="00B119AF" w:rsidRDefault="00000000">
      <w:pPr>
        <w:pStyle w:val="BodyText"/>
        <w:rPr>
          <w:rFonts w:ascii="Garamond" w:hAnsi="Garamond"/>
        </w:rPr>
      </w:pPr>
      <w:r w:rsidRPr="00B119AF">
        <w:rPr>
          <w:rFonts w:ascii="Garamond" w:hAnsi="Garamond"/>
          <w:i/>
          <w:iCs/>
        </w:rPr>
        <w:t>Explaining Hispanic Support for Donald Trump: A Longitudinal Analysis of Competing Explanations, 2016–2024</w:t>
      </w:r>
      <w:r w:rsidRPr="00B119AF">
        <w:rPr>
          <w:rFonts w:ascii="Garamond" w:hAnsi="Garamond"/>
        </w:rPr>
        <w:t xml:space="preserve">  (Gómez et al. 2026)</w:t>
      </w:r>
    </w:p>
    <w:p w14:paraId="28BF4C6A" w14:textId="77777777" w:rsidR="00C70A7F" w:rsidRPr="00B119AF" w:rsidRDefault="00000000">
      <w:pPr>
        <w:pStyle w:val="Heading3"/>
        <w:rPr>
          <w:rFonts w:ascii="Garamond" w:hAnsi="Garamond"/>
          <w:sz w:val="24"/>
          <w:szCs w:val="24"/>
        </w:rPr>
      </w:pPr>
      <w:bookmarkStart w:id="73" w:name="_Toc238577245"/>
      <w:r w:rsidRPr="00B119AF">
        <w:rPr>
          <w:rFonts w:ascii="Garamond" w:hAnsi="Garamond"/>
          <w:sz w:val="24"/>
          <w:szCs w:val="24"/>
        </w:rPr>
        <w:t>Lecture 2</w:t>
      </w:r>
      <w:bookmarkEnd w:id="73"/>
    </w:p>
    <w:p w14:paraId="4DE33A73" w14:textId="77777777" w:rsidR="00C70A7F" w:rsidRPr="00B119AF" w:rsidRDefault="00000000">
      <w:pPr>
        <w:pStyle w:val="FirstParagraph"/>
        <w:rPr>
          <w:rFonts w:ascii="Garamond" w:hAnsi="Garamond"/>
        </w:rPr>
      </w:pPr>
      <w:r w:rsidRPr="00B119AF">
        <w:rPr>
          <w:rFonts w:ascii="Garamond" w:hAnsi="Garamond"/>
          <w:i/>
          <w:iCs/>
        </w:rPr>
        <w:t>The Electoral Politics of Immigration and Crime</w:t>
      </w:r>
      <w:r w:rsidRPr="00B119AF">
        <w:rPr>
          <w:rFonts w:ascii="Garamond" w:hAnsi="Garamond"/>
        </w:rPr>
        <w:t xml:space="preserve">  (Alizade 2025)</w:t>
      </w:r>
    </w:p>
    <w:p w14:paraId="2146339B" w14:textId="77777777" w:rsidR="00C70A7F" w:rsidRPr="00B119AF" w:rsidRDefault="00000000">
      <w:pPr>
        <w:pStyle w:val="BodyText"/>
        <w:rPr>
          <w:rFonts w:ascii="Garamond" w:hAnsi="Garamond"/>
        </w:rPr>
      </w:pPr>
      <w:r w:rsidRPr="00B119AF">
        <w:rPr>
          <w:rFonts w:ascii="Garamond" w:hAnsi="Garamond"/>
          <w:i/>
          <w:iCs/>
        </w:rPr>
        <w:t>The Intergenerational Transmission of Majority-Group Ties and Their Political Consequences</w:t>
      </w:r>
      <w:r w:rsidRPr="00B119AF">
        <w:rPr>
          <w:rFonts w:ascii="Garamond" w:hAnsi="Garamond"/>
        </w:rPr>
        <w:t xml:space="preserve"> (Karim 2026)</w:t>
      </w:r>
    </w:p>
    <w:p w14:paraId="1D369561" w14:textId="77777777" w:rsidR="00C70A7F" w:rsidRPr="00C67F66" w:rsidRDefault="00000000">
      <w:pPr>
        <w:pStyle w:val="Heading4"/>
        <w:rPr>
          <w:rFonts w:ascii="Garamond" w:hAnsi="Garamond"/>
          <w:b/>
          <w:bCs/>
          <w:sz w:val="28"/>
          <w:szCs w:val="28"/>
        </w:rPr>
      </w:pPr>
      <w:bookmarkStart w:id="74" w:name="week-12-review-and-a-work-session"/>
      <w:r w:rsidRPr="00C67F66">
        <w:rPr>
          <w:rFonts w:ascii="Garamond" w:hAnsi="Garamond"/>
          <w:b/>
          <w:bCs/>
          <w:sz w:val="28"/>
          <w:szCs w:val="28"/>
        </w:rPr>
        <w:t>Week 12: Review and A Work Session</w:t>
      </w:r>
    </w:p>
    <w:p w14:paraId="520D7C6F" w14:textId="77777777" w:rsidR="00C70A7F" w:rsidRPr="00B119AF" w:rsidRDefault="00000000">
      <w:pPr>
        <w:pStyle w:val="Heading6"/>
        <w:rPr>
          <w:rFonts w:ascii="Garamond" w:hAnsi="Garamond"/>
        </w:rPr>
      </w:pPr>
      <w:bookmarkStart w:id="75" w:name="X017a47b17ec2bab88d746fb8a98a867aad5a38b"/>
      <w:r w:rsidRPr="00B119AF">
        <w:rPr>
          <w:rFonts w:ascii="Garamond" w:hAnsi="Garamond"/>
        </w:rPr>
        <w:t xml:space="preserve"> November 17</w:t>
      </w:r>
      <w:r w:rsidRPr="00B119AF">
        <w:rPr>
          <w:rFonts w:ascii="Garamond" w:hAnsi="Garamond"/>
          <w:vertAlign w:val="superscript"/>
        </w:rPr>
        <w:t>th</w:t>
      </w:r>
      <w:r w:rsidRPr="00B119AF">
        <w:rPr>
          <w:rFonts w:ascii="Garamond" w:hAnsi="Garamond"/>
        </w:rPr>
        <w:t xml:space="preserve"> &amp; November 19</w:t>
      </w:r>
      <w:r w:rsidRPr="00B119AF">
        <w:rPr>
          <w:rFonts w:ascii="Garamond" w:hAnsi="Garamond"/>
          <w:vertAlign w:val="superscript"/>
        </w:rPr>
        <w:t>th</w:t>
      </w:r>
    </w:p>
    <w:p w14:paraId="6A6B9220" w14:textId="77777777" w:rsidR="00C70A7F" w:rsidRPr="00B119AF" w:rsidRDefault="00000000">
      <w:pPr>
        <w:pStyle w:val="Heading3"/>
        <w:rPr>
          <w:rFonts w:ascii="Garamond" w:hAnsi="Garamond"/>
          <w:sz w:val="24"/>
          <w:szCs w:val="24"/>
        </w:rPr>
      </w:pPr>
      <w:bookmarkStart w:id="76" w:name="_Toc238577246"/>
      <w:bookmarkEnd w:id="74"/>
      <w:bookmarkEnd w:id="75"/>
      <w:r w:rsidRPr="00B119AF">
        <w:rPr>
          <w:rFonts w:ascii="Garamond" w:hAnsi="Garamond"/>
          <w:sz w:val="24"/>
          <w:szCs w:val="24"/>
        </w:rPr>
        <w:t>Lecture 1</w:t>
      </w:r>
      <w:bookmarkEnd w:id="76"/>
    </w:p>
    <w:p w14:paraId="3BD1D3BB" w14:textId="77777777" w:rsidR="00C70A7F" w:rsidRPr="00B119AF" w:rsidRDefault="00000000">
      <w:pPr>
        <w:pStyle w:val="FirstParagraph"/>
        <w:rPr>
          <w:rFonts w:ascii="Garamond" w:hAnsi="Garamond"/>
        </w:rPr>
      </w:pPr>
      <w:r w:rsidRPr="00B119AF">
        <w:rPr>
          <w:rFonts w:ascii="Garamond" w:hAnsi="Garamond"/>
          <w:i/>
          <w:iCs/>
        </w:rPr>
        <w:t>Assimilation Theories in the 21</w:t>
      </w:r>
      <w:r w:rsidRPr="00B119AF">
        <w:rPr>
          <w:rFonts w:ascii="Garamond" w:hAnsi="Garamond"/>
          <w:i/>
          <w:iCs/>
          <w:vertAlign w:val="superscript"/>
        </w:rPr>
        <w:t>st</w:t>
      </w:r>
      <w:r w:rsidRPr="00B119AF">
        <w:rPr>
          <w:rFonts w:ascii="Garamond" w:hAnsi="Garamond"/>
          <w:i/>
          <w:iCs/>
        </w:rPr>
        <w:t xml:space="preserve"> Century: Appraising Accomplishments and Future Challenges</w:t>
      </w:r>
      <w:r w:rsidRPr="00B119AF">
        <w:rPr>
          <w:rFonts w:ascii="Garamond" w:hAnsi="Garamond"/>
        </w:rPr>
        <w:t xml:space="preserve"> (Drouhot 2024)</w:t>
      </w:r>
    </w:p>
    <w:p w14:paraId="7BB47B4E" w14:textId="77777777" w:rsidR="00C70A7F" w:rsidRPr="00B119AF" w:rsidRDefault="00000000">
      <w:pPr>
        <w:pStyle w:val="BodyText"/>
        <w:rPr>
          <w:rFonts w:ascii="Garamond" w:hAnsi="Garamond"/>
        </w:rPr>
      </w:pPr>
      <w:r w:rsidRPr="00B119AF">
        <w:rPr>
          <w:rFonts w:ascii="Garamond" w:hAnsi="Garamond"/>
          <w:i/>
          <w:iCs/>
        </w:rPr>
        <w:t>A Framework for Bridging Conventional and Critical Perspectives on Immigrant Assimilation</w:t>
      </w:r>
      <w:r w:rsidRPr="00B119AF">
        <w:rPr>
          <w:rFonts w:ascii="Garamond" w:hAnsi="Garamond"/>
        </w:rPr>
        <w:t xml:space="preserve">  (Asad and Dahir 2026)</w:t>
      </w:r>
    </w:p>
    <w:p w14:paraId="55EB5F63" w14:textId="77777777" w:rsidR="00C70A7F" w:rsidRPr="00B119AF" w:rsidRDefault="00000000">
      <w:pPr>
        <w:pStyle w:val="Heading3"/>
        <w:rPr>
          <w:rFonts w:ascii="Garamond" w:hAnsi="Garamond"/>
          <w:sz w:val="24"/>
          <w:szCs w:val="24"/>
        </w:rPr>
      </w:pPr>
      <w:bookmarkStart w:id="77" w:name="_Toc238577247"/>
      <w:r w:rsidRPr="00B119AF">
        <w:rPr>
          <w:rFonts w:ascii="Garamond" w:hAnsi="Garamond"/>
          <w:sz w:val="24"/>
          <w:szCs w:val="24"/>
        </w:rPr>
        <w:lastRenderedPageBreak/>
        <w:t>Lecture 2</w:t>
      </w:r>
      <w:bookmarkEnd w:id="77"/>
    </w:p>
    <w:p w14:paraId="41B74323" w14:textId="77777777" w:rsidR="00C70A7F" w:rsidRPr="00B119AF" w:rsidRDefault="00000000">
      <w:pPr>
        <w:pStyle w:val="FirstParagraph"/>
        <w:rPr>
          <w:rFonts w:ascii="Garamond" w:hAnsi="Garamond"/>
        </w:rPr>
      </w:pPr>
      <w:r w:rsidRPr="00B119AF">
        <w:rPr>
          <w:rFonts w:ascii="Garamond" w:hAnsi="Garamond"/>
          <w:i/>
          <w:iCs/>
        </w:rPr>
        <w:t>No Assigned Readings</w:t>
      </w:r>
      <w:r w:rsidRPr="00B119AF">
        <w:rPr>
          <w:rFonts w:ascii="Garamond" w:hAnsi="Garamond"/>
        </w:rPr>
        <w:t>.</w:t>
      </w:r>
    </w:p>
    <w:p w14:paraId="2E977E51" w14:textId="77777777" w:rsidR="00C70A7F" w:rsidRPr="00C67F66" w:rsidRDefault="00000000">
      <w:pPr>
        <w:pStyle w:val="Heading4"/>
        <w:rPr>
          <w:rFonts w:ascii="Garamond" w:hAnsi="Garamond"/>
          <w:b/>
          <w:bCs/>
          <w:sz w:val="28"/>
          <w:szCs w:val="28"/>
        </w:rPr>
      </w:pPr>
      <w:bookmarkStart w:id="78" w:name="thanksgiving"/>
      <w:r w:rsidRPr="00C67F66">
        <w:rPr>
          <w:rFonts w:ascii="Garamond" w:hAnsi="Garamond"/>
          <w:b/>
          <w:bCs/>
          <w:sz w:val="28"/>
          <w:szCs w:val="28"/>
        </w:rPr>
        <w:t>Week 13: Thanksgiving Break</w:t>
      </w:r>
    </w:p>
    <w:p w14:paraId="04D5B2C9" w14:textId="77777777" w:rsidR="00C70A7F" w:rsidRPr="00B119AF" w:rsidRDefault="00000000">
      <w:pPr>
        <w:pStyle w:val="Heading6"/>
        <w:rPr>
          <w:rFonts w:ascii="Garamond" w:hAnsi="Garamond"/>
        </w:rPr>
      </w:pPr>
      <w:bookmarkStart w:id="79" w:name="Xd6ad858d82d537f753bd52cca2e675d4e03942d"/>
      <w:r w:rsidRPr="00B119AF">
        <w:rPr>
          <w:rFonts w:ascii="Garamond" w:hAnsi="Garamond"/>
        </w:rPr>
        <w:t xml:space="preserve"> November 24</w:t>
      </w:r>
      <w:r w:rsidRPr="00B119AF">
        <w:rPr>
          <w:rFonts w:ascii="Garamond" w:hAnsi="Garamond"/>
          <w:vertAlign w:val="superscript"/>
        </w:rPr>
        <w:t>th</w:t>
      </w:r>
      <w:r w:rsidRPr="00B119AF">
        <w:rPr>
          <w:rFonts w:ascii="Garamond" w:hAnsi="Garamond"/>
        </w:rPr>
        <w:t xml:space="preserve"> &amp; November 26</w:t>
      </w:r>
      <w:r w:rsidRPr="00B119AF">
        <w:rPr>
          <w:rFonts w:ascii="Garamond" w:hAnsi="Garamond"/>
          <w:vertAlign w:val="superscript"/>
        </w:rPr>
        <w:t>th</w:t>
      </w:r>
    </w:p>
    <w:p w14:paraId="153875D4" w14:textId="77777777" w:rsidR="00C70A7F" w:rsidRPr="00B119AF" w:rsidRDefault="00000000">
      <w:pPr>
        <w:pStyle w:val="Heading7"/>
        <w:rPr>
          <w:rFonts w:ascii="Garamond" w:hAnsi="Garamond"/>
        </w:rPr>
      </w:pPr>
      <w:bookmarkStart w:id="80" w:name="no-classes"/>
      <w:r w:rsidRPr="00B119AF">
        <w:rPr>
          <w:rFonts w:ascii="Garamond" w:hAnsi="Garamond"/>
        </w:rPr>
        <w:t xml:space="preserve"> </w:t>
      </w:r>
      <w:r w:rsidRPr="00B119AF">
        <w:rPr>
          <w:rFonts w:ascii="Garamond" w:hAnsi="Garamond"/>
          <w:b/>
          <w:bCs/>
        </w:rPr>
        <w:t>No Classes</w:t>
      </w:r>
      <w:r w:rsidRPr="00B119AF">
        <w:rPr>
          <w:rFonts w:ascii="Garamond" w:hAnsi="Garamond"/>
        </w:rPr>
        <w:t xml:space="preserve"> </w:t>
      </w:r>
    </w:p>
    <w:p w14:paraId="320D1152" w14:textId="7355C37A" w:rsidR="00C70A7F" w:rsidRPr="00C67F66" w:rsidRDefault="00C67F66">
      <w:pPr>
        <w:pStyle w:val="Heading3"/>
        <w:rPr>
          <w:rFonts w:ascii="Garamond" w:hAnsi="Garamond"/>
          <w:sz w:val="32"/>
          <w:szCs w:val="32"/>
        </w:rPr>
      </w:pPr>
      <w:bookmarkStart w:id="81" w:name="_Toc238577248"/>
      <w:bookmarkStart w:id="82" w:name="unitiv"/>
      <w:bookmarkEnd w:id="78"/>
      <w:bookmarkEnd w:id="79"/>
      <w:bookmarkEnd w:id="80"/>
      <w:r w:rsidRPr="00C67F66">
        <w:rPr>
          <w:rFonts w:ascii="Garamond" w:hAnsi="Garamond"/>
          <w:b/>
          <w:bCs/>
          <w:sz w:val="32"/>
          <w:szCs w:val="32"/>
        </w:rPr>
        <w:t>Part III: Final Presentations</w:t>
      </w:r>
      <w:bookmarkEnd w:id="81"/>
    </w:p>
    <w:p w14:paraId="3A5E3F52" w14:textId="77777777" w:rsidR="00C70A7F" w:rsidRPr="00C67F66" w:rsidRDefault="00000000">
      <w:pPr>
        <w:pStyle w:val="Heading4"/>
        <w:rPr>
          <w:rFonts w:ascii="Garamond" w:hAnsi="Garamond"/>
          <w:b/>
          <w:bCs/>
          <w:sz w:val="28"/>
          <w:szCs w:val="28"/>
        </w:rPr>
      </w:pPr>
      <w:bookmarkStart w:id="83" w:name="week-14-presentations"/>
      <w:r w:rsidRPr="00C67F66">
        <w:rPr>
          <w:rFonts w:ascii="Garamond" w:hAnsi="Garamond"/>
          <w:b/>
          <w:bCs/>
          <w:sz w:val="28"/>
          <w:szCs w:val="28"/>
        </w:rPr>
        <w:t>Week 14: Presentations</w:t>
      </w:r>
    </w:p>
    <w:p w14:paraId="4CB00009" w14:textId="77777777" w:rsidR="00C70A7F" w:rsidRPr="00B119AF" w:rsidRDefault="00000000">
      <w:pPr>
        <w:pStyle w:val="Heading6"/>
        <w:rPr>
          <w:rFonts w:ascii="Garamond" w:hAnsi="Garamond"/>
        </w:rPr>
      </w:pPr>
      <w:bookmarkStart w:id="84" w:name="Xeb89f6dfe2deb2d4417a1086e09ddb7f5cede3a"/>
      <w:r w:rsidRPr="00B119AF">
        <w:rPr>
          <w:rFonts w:ascii="Garamond" w:hAnsi="Garamond"/>
        </w:rPr>
        <w:t xml:space="preserve"> December 1</w:t>
      </w:r>
      <w:r w:rsidRPr="00B119AF">
        <w:rPr>
          <w:rFonts w:ascii="Garamond" w:hAnsi="Garamond"/>
          <w:vertAlign w:val="superscript"/>
        </w:rPr>
        <w:t>st</w:t>
      </w:r>
      <w:r w:rsidRPr="00B119AF">
        <w:rPr>
          <w:rFonts w:ascii="Garamond" w:hAnsi="Garamond"/>
        </w:rPr>
        <w:t xml:space="preserve"> &amp; December 3</w:t>
      </w:r>
      <w:r w:rsidRPr="00B119AF">
        <w:rPr>
          <w:rFonts w:ascii="Garamond" w:hAnsi="Garamond"/>
          <w:vertAlign w:val="superscript"/>
        </w:rPr>
        <w:t>rd</w:t>
      </w:r>
    </w:p>
    <w:p w14:paraId="16FE2B8B" w14:textId="77777777" w:rsidR="00C70A7F" w:rsidRPr="00B119AF" w:rsidRDefault="00000000">
      <w:pPr>
        <w:pStyle w:val="FirstParagraph"/>
        <w:rPr>
          <w:rFonts w:ascii="Garamond" w:hAnsi="Garamond"/>
        </w:rPr>
      </w:pPr>
      <w:r w:rsidRPr="00B119AF">
        <w:rPr>
          <w:rFonts w:ascii="Garamond" w:hAnsi="Garamond"/>
          <w:i/>
          <w:iCs/>
        </w:rPr>
        <w:t>No Assigned Readings</w:t>
      </w:r>
      <w:r w:rsidRPr="00B119AF">
        <w:rPr>
          <w:rFonts w:ascii="Garamond" w:hAnsi="Garamond"/>
        </w:rPr>
        <w:t>.</w:t>
      </w:r>
    </w:p>
    <w:p w14:paraId="2FD937E8" w14:textId="77777777" w:rsidR="00C70A7F" w:rsidRPr="00C67F66" w:rsidRDefault="00000000">
      <w:pPr>
        <w:pStyle w:val="Heading4"/>
        <w:rPr>
          <w:rFonts w:ascii="Garamond" w:hAnsi="Garamond"/>
          <w:b/>
          <w:bCs/>
          <w:sz w:val="28"/>
          <w:szCs w:val="28"/>
        </w:rPr>
      </w:pPr>
      <w:bookmarkStart w:id="85" w:name="week-15-presentations"/>
      <w:bookmarkEnd w:id="83"/>
      <w:bookmarkEnd w:id="84"/>
      <w:r w:rsidRPr="00C67F66">
        <w:rPr>
          <w:rFonts w:ascii="Garamond" w:hAnsi="Garamond"/>
          <w:b/>
          <w:bCs/>
          <w:sz w:val="28"/>
          <w:szCs w:val="28"/>
        </w:rPr>
        <w:t>Week 15: Presentations</w:t>
      </w:r>
    </w:p>
    <w:p w14:paraId="3B4292E7" w14:textId="77777777" w:rsidR="00C70A7F" w:rsidRPr="00B119AF" w:rsidRDefault="00000000">
      <w:pPr>
        <w:pStyle w:val="Heading6"/>
        <w:rPr>
          <w:rFonts w:ascii="Garamond" w:hAnsi="Garamond"/>
        </w:rPr>
      </w:pPr>
      <w:bookmarkStart w:id="86" w:name="X6a5feb5fae18dc90d2dc00e348ed59e2ca50c63"/>
      <w:r w:rsidRPr="00B119AF">
        <w:rPr>
          <w:rFonts w:ascii="Garamond" w:hAnsi="Garamond"/>
        </w:rPr>
        <w:t xml:space="preserve"> December 8</w:t>
      </w:r>
      <w:r w:rsidRPr="00B119AF">
        <w:rPr>
          <w:rFonts w:ascii="Garamond" w:hAnsi="Garamond"/>
          <w:vertAlign w:val="superscript"/>
        </w:rPr>
        <w:t>th</w:t>
      </w:r>
    </w:p>
    <w:p w14:paraId="040A76AC" w14:textId="77777777" w:rsidR="00C70A7F" w:rsidRPr="00B119AF" w:rsidRDefault="00000000">
      <w:pPr>
        <w:pStyle w:val="FirstParagraph"/>
        <w:rPr>
          <w:rFonts w:ascii="Garamond" w:hAnsi="Garamond"/>
        </w:rPr>
      </w:pPr>
      <w:r w:rsidRPr="00B119AF">
        <w:rPr>
          <w:rFonts w:ascii="Garamond" w:hAnsi="Garamond"/>
          <w:i/>
          <w:iCs/>
        </w:rPr>
        <w:t>No Assigned Readings</w:t>
      </w:r>
      <w:r w:rsidRPr="00B119AF">
        <w:rPr>
          <w:rFonts w:ascii="Garamond" w:hAnsi="Garamond"/>
        </w:rPr>
        <w:t>.</w:t>
      </w:r>
    </w:p>
    <w:tbl>
      <w:tblPr>
        <w:tblStyle w:val="Table"/>
        <w:tblW w:w="0" w:type="auto"/>
        <w:tblBorders>
          <w:top w:val="single" w:sz="4" w:space="0" w:color="CC1914"/>
          <w:left w:val="single" w:sz="24" w:space="0" w:color="CC1914"/>
          <w:bottom w:val="single" w:sz="4" w:space="0" w:color="CC1914"/>
          <w:right w:val="single" w:sz="4" w:space="0" w:color="CC1914"/>
        </w:tblBorders>
        <w:tblCellMar>
          <w:left w:w="144" w:type="dxa"/>
          <w:right w:w="144" w:type="dxa"/>
        </w:tblCellMar>
        <w:tblLook w:val="0000" w:firstRow="0" w:lastRow="0" w:firstColumn="0" w:lastColumn="0" w:noHBand="0" w:noVBand="0"/>
      </w:tblPr>
      <w:tblGrid>
        <w:gridCol w:w="9648"/>
      </w:tblGrid>
      <w:tr w:rsidR="00C70A7F" w:rsidRPr="00B119AF" w14:paraId="1CE97061" w14:textId="77777777" w:rsidTr="00C70A7F">
        <w:trPr>
          <w:cantSplit/>
        </w:trPr>
        <w:tc>
          <w:tcPr>
            <w:tcW w:w="0" w:type="auto"/>
            <w:shd w:val="clear" w:color="auto" w:fill="F7DDDC"/>
            <w:tcMar>
              <w:top w:w="92" w:type="dxa"/>
              <w:bottom w:w="92" w:type="dxa"/>
            </w:tcMar>
          </w:tcPr>
          <w:p w14:paraId="2077544A" w14:textId="77777777" w:rsidR="00C70A7F" w:rsidRPr="00B119AF" w:rsidRDefault="00000000">
            <w:pPr>
              <w:pStyle w:val="BodyText"/>
              <w:spacing w:before="0" w:after="0"/>
              <w:textAlignment w:val="center"/>
              <w:rPr>
                <w:rFonts w:ascii="Garamond" w:hAnsi="Garamond"/>
              </w:rPr>
            </w:pPr>
            <w:r w:rsidRPr="00B119AF">
              <w:rPr>
                <w:rFonts w:ascii="Garamond" w:hAnsi="Garamond"/>
                <w:noProof/>
              </w:rPr>
              <w:drawing>
                <wp:inline distT="0" distB="0" distL="0" distR="0" wp14:anchorId="515A5767" wp14:editId="11D7EA7B">
                  <wp:extent cx="152400" cy="152400"/>
                  <wp:effectExtent l="0" t="0" r="0" b="0"/>
                  <wp:docPr id="90" name="Picture"/>
                  <wp:cNvGraphicFramePr/>
                  <a:graphic xmlns:a="http://schemas.openxmlformats.org/drawingml/2006/main">
                    <a:graphicData uri="http://schemas.openxmlformats.org/drawingml/2006/picture">
                      <pic:pic xmlns:pic="http://schemas.openxmlformats.org/drawingml/2006/picture">
                        <pic:nvPicPr>
                          <pic:cNvPr id="91" name="Picture" descr="/Applications/quarto/share/formats/docx/important.png"/>
                          <pic:cNvPicPr>
                            <a:picLocks noChangeAspect="1" noChangeArrowheads="1"/>
                          </pic:cNvPicPr>
                        </pic:nvPicPr>
                        <pic:blipFill>
                          <a:blip r:embed="rId13"/>
                          <a:stretch>
                            <a:fillRect/>
                          </a:stretch>
                        </pic:blipFill>
                        <pic:spPr bwMode="auto">
                          <a:xfrm>
                            <a:off x="0" y="0"/>
                            <a:ext cx="152400" cy="152400"/>
                          </a:xfrm>
                          <a:prstGeom prst="rect">
                            <a:avLst/>
                          </a:prstGeom>
                          <a:noFill/>
                          <a:ln w="9525">
                            <a:noFill/>
                            <a:headEnd/>
                            <a:tailEnd/>
                          </a:ln>
                        </pic:spPr>
                      </pic:pic>
                    </a:graphicData>
                  </a:graphic>
                </wp:inline>
              </w:drawing>
            </w:r>
            <w:r w:rsidRPr="00B119AF">
              <w:rPr>
                <w:rFonts w:ascii="Garamond" w:hAnsi="Garamond"/>
              </w:rPr>
              <w:t xml:space="preserve">  Deadline for Term Paper</w:t>
            </w:r>
          </w:p>
        </w:tc>
      </w:tr>
      <w:tr w:rsidR="00C70A7F" w:rsidRPr="00B119AF" w14:paraId="6B1DDF73" w14:textId="77777777" w:rsidTr="00C70A7F">
        <w:trPr>
          <w:cantSplit/>
        </w:trPr>
        <w:tc>
          <w:tcPr>
            <w:tcW w:w="0" w:type="auto"/>
            <w:tcMar>
              <w:top w:w="108" w:type="dxa"/>
              <w:bottom w:w="108" w:type="dxa"/>
            </w:tcMar>
          </w:tcPr>
          <w:p w14:paraId="1B60C979" w14:textId="418CD87E" w:rsidR="00C70A7F" w:rsidRPr="00B119AF" w:rsidRDefault="00000000" w:rsidP="00B119AF">
            <w:pPr>
              <w:pStyle w:val="BodyText"/>
              <w:spacing w:before="16" w:after="16"/>
              <w:rPr>
                <w:rFonts w:ascii="Garamond" w:hAnsi="Garamond"/>
              </w:rPr>
            </w:pPr>
            <w:r w:rsidRPr="00B119AF">
              <w:rPr>
                <w:rFonts w:ascii="Garamond" w:hAnsi="Garamond"/>
              </w:rPr>
              <w:t xml:space="preserve">Term papers are due by </w:t>
            </w:r>
            <w:r w:rsidRPr="00B119AF">
              <w:rPr>
                <w:rFonts w:ascii="Garamond" w:hAnsi="Garamond"/>
                <w:b/>
                <w:bCs/>
              </w:rPr>
              <w:t>8:00 PM</w:t>
            </w:r>
            <w:r w:rsidRPr="00B119AF">
              <w:rPr>
                <w:rFonts w:ascii="Garamond" w:hAnsi="Garamond"/>
              </w:rPr>
              <w:t xml:space="preserve"> on Monday, December 14</w:t>
            </w:r>
            <w:r w:rsidRPr="00B119AF">
              <w:rPr>
                <w:rFonts w:ascii="Garamond" w:hAnsi="Garamond"/>
                <w:vertAlign w:val="superscript"/>
              </w:rPr>
              <w:t>th</w:t>
            </w:r>
            <w:r w:rsidRPr="00B119AF">
              <w:rPr>
                <w:rFonts w:ascii="Garamond" w:hAnsi="Garamond"/>
              </w:rPr>
              <w:t xml:space="preserve"> for those who would like comments or feedback. The hard deadline for the paper is </w:t>
            </w:r>
            <w:r w:rsidRPr="00B119AF">
              <w:rPr>
                <w:rFonts w:ascii="Garamond" w:hAnsi="Garamond"/>
                <w:b/>
                <w:bCs/>
              </w:rPr>
              <w:t>8:00 PM</w:t>
            </w:r>
            <w:r w:rsidRPr="00B119AF">
              <w:rPr>
                <w:rFonts w:ascii="Garamond" w:hAnsi="Garamond"/>
              </w:rPr>
              <w:t xml:space="preserve"> on Friday, December 18</w:t>
            </w:r>
            <w:r w:rsidRPr="00B119AF">
              <w:rPr>
                <w:rFonts w:ascii="Garamond" w:hAnsi="Garamond"/>
                <w:vertAlign w:val="superscript"/>
              </w:rPr>
              <w:t>th</w:t>
            </w:r>
            <w:r w:rsidRPr="00B119AF">
              <w:rPr>
                <w:rFonts w:ascii="Garamond" w:hAnsi="Garamond"/>
              </w:rPr>
              <w:t>.</w:t>
            </w:r>
          </w:p>
        </w:tc>
      </w:tr>
    </w:tbl>
    <w:bookmarkEnd w:id="82"/>
    <w:bookmarkEnd w:id="85"/>
    <w:bookmarkEnd w:id="86"/>
    <w:p w14:paraId="44F3F14C" w14:textId="601D27D2" w:rsidR="00B119AF" w:rsidRDefault="00C67F66" w:rsidP="00C67F66">
      <w:pPr>
        <w:pStyle w:val="Heading1"/>
        <w:rPr>
          <w:rFonts w:ascii="Garamond" w:hAnsi="Garamond"/>
        </w:rPr>
      </w:pPr>
      <w:r>
        <w:rPr>
          <w:rFonts w:ascii="Garamond" w:hAnsi="Garamond"/>
        </w:rPr>
        <w:t>References</w:t>
      </w:r>
      <w:bookmarkStart w:id="87" w:name="ref-abascal_contraction_2020"/>
      <w:bookmarkStart w:id="88" w:name="refs"/>
    </w:p>
    <w:p w14:paraId="01C08E12" w14:textId="535A296C" w:rsidR="00C70A7F" w:rsidRPr="00B119AF" w:rsidRDefault="00000000">
      <w:pPr>
        <w:pStyle w:val="Bibliography"/>
        <w:rPr>
          <w:rFonts w:ascii="Garamond" w:hAnsi="Garamond"/>
        </w:rPr>
      </w:pPr>
      <w:r w:rsidRPr="00B119AF">
        <w:rPr>
          <w:rFonts w:ascii="Garamond" w:hAnsi="Garamond"/>
        </w:rPr>
        <w:t xml:space="preserve">Abascal, Maria. 2020. “Contraction as a Response to Group Threat: Demographic Decline and Whites’ Classification of People Who Are Ambiguously White.” </w:t>
      </w:r>
      <w:r w:rsidRPr="00B119AF">
        <w:rPr>
          <w:rFonts w:ascii="Garamond" w:hAnsi="Garamond"/>
          <w:i/>
          <w:iCs/>
        </w:rPr>
        <w:t>American Sociological Review</w:t>
      </w:r>
      <w:r w:rsidRPr="00B119AF">
        <w:rPr>
          <w:rFonts w:ascii="Garamond" w:hAnsi="Garamond"/>
        </w:rPr>
        <w:t xml:space="preserve"> 85 (2): 298–322. </w:t>
      </w:r>
      <w:hyperlink r:id="rId20">
        <w:r w:rsidR="00C70A7F" w:rsidRPr="00B119AF">
          <w:rPr>
            <w:rStyle w:val="Hyperlink"/>
            <w:rFonts w:ascii="Garamond" w:hAnsi="Garamond"/>
          </w:rPr>
          <w:t>https://doi.org/10.1177/0003122420905127</w:t>
        </w:r>
      </w:hyperlink>
      <w:r w:rsidRPr="00B119AF">
        <w:rPr>
          <w:rFonts w:ascii="Garamond" w:hAnsi="Garamond"/>
        </w:rPr>
        <w:t>.</w:t>
      </w:r>
    </w:p>
    <w:p w14:paraId="5316FA11" w14:textId="77777777" w:rsidR="00C70A7F" w:rsidRPr="00B119AF" w:rsidRDefault="00000000">
      <w:pPr>
        <w:pStyle w:val="Bibliography"/>
        <w:rPr>
          <w:rFonts w:ascii="Garamond" w:hAnsi="Garamond"/>
        </w:rPr>
      </w:pPr>
      <w:bookmarkStart w:id="89" w:name="ref-alba_bright_2005"/>
      <w:bookmarkEnd w:id="87"/>
      <w:r w:rsidRPr="00B119AF">
        <w:rPr>
          <w:rFonts w:ascii="Garamond" w:hAnsi="Garamond"/>
        </w:rPr>
        <w:t xml:space="preserve">Alba, Richard. 2005. “Bright Vs. Blurred Boundaries: Second-Generation Assimilation and Exclusion in France, Germany, and the United States.” </w:t>
      </w:r>
      <w:r w:rsidRPr="00B119AF">
        <w:rPr>
          <w:rFonts w:ascii="Garamond" w:hAnsi="Garamond"/>
          <w:i/>
          <w:iCs/>
        </w:rPr>
        <w:t>Ethnic and Racial Studies</w:t>
      </w:r>
      <w:r w:rsidRPr="00B119AF">
        <w:rPr>
          <w:rFonts w:ascii="Garamond" w:hAnsi="Garamond"/>
        </w:rPr>
        <w:t xml:space="preserve"> 28 (1): 20–49. </w:t>
      </w:r>
      <w:hyperlink r:id="rId21">
        <w:r w:rsidR="00C70A7F" w:rsidRPr="00B119AF">
          <w:rPr>
            <w:rStyle w:val="Hyperlink"/>
            <w:rFonts w:ascii="Garamond" w:hAnsi="Garamond"/>
          </w:rPr>
          <w:t>https://doi.org/10.1080/0141987042000280003</w:t>
        </w:r>
      </w:hyperlink>
      <w:r w:rsidRPr="00B119AF">
        <w:rPr>
          <w:rFonts w:ascii="Garamond" w:hAnsi="Garamond"/>
        </w:rPr>
        <w:t>.</w:t>
      </w:r>
    </w:p>
    <w:p w14:paraId="33843A7E" w14:textId="77777777" w:rsidR="00C70A7F" w:rsidRPr="00B119AF" w:rsidRDefault="00000000">
      <w:pPr>
        <w:pStyle w:val="Bibliography"/>
        <w:rPr>
          <w:rFonts w:ascii="Garamond" w:hAnsi="Garamond"/>
        </w:rPr>
      </w:pPr>
      <w:bookmarkStart w:id="90" w:name="ref-alba_twilight_1981"/>
      <w:bookmarkEnd w:id="89"/>
      <w:r w:rsidRPr="00B119AF">
        <w:rPr>
          <w:rFonts w:ascii="Garamond" w:hAnsi="Garamond"/>
        </w:rPr>
        <w:t xml:space="preserve">Alba, Richard D. 1981. “The Twilight of Ethnicity Among American Catholics of European Ancestry.” </w:t>
      </w:r>
      <w:r w:rsidRPr="00B119AF">
        <w:rPr>
          <w:rFonts w:ascii="Garamond" w:hAnsi="Garamond"/>
          <w:i/>
          <w:iCs/>
        </w:rPr>
        <w:t>The Annals of the American Academy of Political and Social Science</w:t>
      </w:r>
      <w:r w:rsidRPr="00B119AF">
        <w:rPr>
          <w:rFonts w:ascii="Garamond" w:hAnsi="Garamond"/>
        </w:rPr>
        <w:t xml:space="preserve"> 454: 86–97. </w:t>
      </w:r>
      <w:hyperlink r:id="rId22">
        <w:r w:rsidR="00C70A7F" w:rsidRPr="00B119AF">
          <w:rPr>
            <w:rStyle w:val="Hyperlink"/>
            <w:rFonts w:ascii="Garamond" w:hAnsi="Garamond"/>
          </w:rPr>
          <w:t>https://www.jstor.org/stable/1044247</w:t>
        </w:r>
      </w:hyperlink>
      <w:r w:rsidRPr="00B119AF">
        <w:rPr>
          <w:rFonts w:ascii="Garamond" w:hAnsi="Garamond"/>
        </w:rPr>
        <w:t>.</w:t>
      </w:r>
    </w:p>
    <w:p w14:paraId="72C4B5DB" w14:textId="77777777" w:rsidR="00C70A7F" w:rsidRPr="00B119AF" w:rsidRDefault="00000000">
      <w:pPr>
        <w:pStyle w:val="Bibliography"/>
        <w:rPr>
          <w:rFonts w:ascii="Garamond" w:hAnsi="Garamond"/>
        </w:rPr>
      </w:pPr>
      <w:bookmarkStart w:id="91" w:name="ref-alba_remaking_2003"/>
      <w:bookmarkEnd w:id="90"/>
      <w:r w:rsidRPr="00B119AF">
        <w:rPr>
          <w:rFonts w:ascii="Garamond" w:hAnsi="Garamond"/>
        </w:rPr>
        <w:t xml:space="preserve">Alba, Richard D., and Victor Nee. 2003. </w:t>
      </w:r>
      <w:r w:rsidRPr="00B119AF">
        <w:rPr>
          <w:rFonts w:ascii="Garamond" w:hAnsi="Garamond"/>
          <w:i/>
          <w:iCs/>
        </w:rPr>
        <w:t>Remaking the American Mainstream: Assimilation and Contemporary Immigration</w:t>
      </w:r>
      <w:r w:rsidRPr="00B119AF">
        <w:rPr>
          <w:rFonts w:ascii="Garamond" w:hAnsi="Garamond"/>
        </w:rPr>
        <w:t>. Harvard University Press.</w:t>
      </w:r>
    </w:p>
    <w:p w14:paraId="7F819AB3" w14:textId="77777777" w:rsidR="00C70A7F" w:rsidRPr="00B119AF" w:rsidRDefault="00000000">
      <w:pPr>
        <w:pStyle w:val="Bibliography"/>
        <w:rPr>
          <w:rFonts w:ascii="Garamond" w:hAnsi="Garamond"/>
        </w:rPr>
      </w:pPr>
      <w:bookmarkStart w:id="92" w:name="ref-alba_demographic_2022"/>
      <w:bookmarkEnd w:id="91"/>
      <w:r w:rsidRPr="00B119AF">
        <w:rPr>
          <w:rFonts w:ascii="Garamond" w:hAnsi="Garamond"/>
        </w:rPr>
        <w:t xml:space="preserve">Alba, Richard, and Christopher Maggio. 2022. “Demographic Change and Assimilation in the Early 21st-Century United States.” </w:t>
      </w:r>
      <w:r w:rsidRPr="00B119AF">
        <w:rPr>
          <w:rFonts w:ascii="Garamond" w:hAnsi="Garamond"/>
          <w:i/>
          <w:iCs/>
        </w:rPr>
        <w:t>Proceedings of the National Academy of Sciences</w:t>
      </w:r>
      <w:r w:rsidRPr="00B119AF">
        <w:rPr>
          <w:rFonts w:ascii="Garamond" w:hAnsi="Garamond"/>
        </w:rPr>
        <w:t xml:space="preserve"> 119 (13): e2118678119. </w:t>
      </w:r>
      <w:hyperlink r:id="rId23">
        <w:r w:rsidR="00C70A7F" w:rsidRPr="00B119AF">
          <w:rPr>
            <w:rStyle w:val="Hyperlink"/>
            <w:rFonts w:ascii="Garamond" w:hAnsi="Garamond"/>
          </w:rPr>
          <w:t>https://doi.org/10.1073/pnas.2118678119</w:t>
        </w:r>
      </w:hyperlink>
      <w:r w:rsidRPr="00B119AF">
        <w:rPr>
          <w:rFonts w:ascii="Garamond" w:hAnsi="Garamond"/>
        </w:rPr>
        <w:t>.</w:t>
      </w:r>
    </w:p>
    <w:p w14:paraId="2A18C6E1" w14:textId="77777777" w:rsidR="00C70A7F" w:rsidRPr="00B119AF" w:rsidRDefault="00000000">
      <w:pPr>
        <w:pStyle w:val="Bibliography"/>
        <w:rPr>
          <w:rFonts w:ascii="Garamond" w:hAnsi="Garamond"/>
        </w:rPr>
      </w:pPr>
      <w:bookmarkStart w:id="93" w:name="ref-alba_assimilation_2014"/>
      <w:bookmarkEnd w:id="92"/>
      <w:r w:rsidRPr="00B119AF">
        <w:rPr>
          <w:rFonts w:ascii="Garamond" w:hAnsi="Garamond"/>
        </w:rPr>
        <w:t xml:space="preserve">Alba, Richard, and Victor Nee. 2014. “Assimilation.” In </w:t>
      </w:r>
      <w:r w:rsidRPr="00B119AF">
        <w:rPr>
          <w:rFonts w:ascii="Garamond" w:hAnsi="Garamond"/>
          <w:i/>
          <w:iCs/>
        </w:rPr>
        <w:t>An Introduction to Immigrant Incorporation Studies</w:t>
      </w:r>
      <w:r w:rsidRPr="00B119AF">
        <w:rPr>
          <w:rFonts w:ascii="Garamond" w:hAnsi="Garamond"/>
        </w:rPr>
        <w:t xml:space="preserve">, edited by Marco Martiniello and Jan Rath. European Perspectives. Amsterdam University Press. </w:t>
      </w:r>
      <w:hyperlink r:id="rId24">
        <w:r w:rsidR="00C70A7F" w:rsidRPr="00B119AF">
          <w:rPr>
            <w:rStyle w:val="Hyperlink"/>
            <w:rFonts w:ascii="Garamond" w:hAnsi="Garamond"/>
          </w:rPr>
          <w:t>https://doi.org/10.2307/j.ctt128780b.6</w:t>
        </w:r>
      </w:hyperlink>
      <w:r w:rsidRPr="00B119AF">
        <w:rPr>
          <w:rFonts w:ascii="Garamond" w:hAnsi="Garamond"/>
        </w:rPr>
        <w:t>.</w:t>
      </w:r>
    </w:p>
    <w:p w14:paraId="13927757" w14:textId="77777777" w:rsidR="00C70A7F" w:rsidRPr="00B119AF" w:rsidRDefault="00000000">
      <w:pPr>
        <w:pStyle w:val="Bibliography"/>
        <w:rPr>
          <w:rFonts w:ascii="Garamond" w:hAnsi="Garamond"/>
        </w:rPr>
      </w:pPr>
      <w:bookmarkStart w:id="94" w:name="ref-alizade_electoral_2025"/>
      <w:bookmarkEnd w:id="93"/>
      <w:r w:rsidRPr="00B119AF">
        <w:rPr>
          <w:rFonts w:ascii="Garamond" w:hAnsi="Garamond"/>
        </w:rPr>
        <w:lastRenderedPageBreak/>
        <w:t xml:space="preserve">Alizade, Jeyhun. 2025. “The Electoral Politics of Immigration and Crime.” </w:t>
      </w:r>
      <w:r w:rsidRPr="00B119AF">
        <w:rPr>
          <w:rFonts w:ascii="Garamond" w:hAnsi="Garamond"/>
          <w:i/>
          <w:iCs/>
        </w:rPr>
        <w:t>American Journal of Political Science</w:t>
      </w:r>
      <w:r w:rsidRPr="00B119AF">
        <w:rPr>
          <w:rFonts w:ascii="Garamond" w:hAnsi="Garamond"/>
        </w:rPr>
        <w:t xml:space="preserve"> n/a (n/a). </w:t>
      </w:r>
      <w:hyperlink r:id="rId25">
        <w:r w:rsidR="00C70A7F" w:rsidRPr="00B119AF">
          <w:rPr>
            <w:rStyle w:val="Hyperlink"/>
            <w:rFonts w:ascii="Garamond" w:hAnsi="Garamond"/>
          </w:rPr>
          <w:t>https://doi.org/10.1111/ajps.70013</w:t>
        </w:r>
      </w:hyperlink>
      <w:r w:rsidRPr="00B119AF">
        <w:rPr>
          <w:rFonts w:ascii="Garamond" w:hAnsi="Garamond"/>
        </w:rPr>
        <w:t>.</w:t>
      </w:r>
    </w:p>
    <w:p w14:paraId="74F8F0A9" w14:textId="77777777" w:rsidR="00C70A7F" w:rsidRPr="00B119AF" w:rsidRDefault="00000000">
      <w:pPr>
        <w:pStyle w:val="Bibliography"/>
        <w:rPr>
          <w:rFonts w:ascii="Garamond" w:hAnsi="Garamond"/>
        </w:rPr>
      </w:pPr>
      <w:bookmarkStart w:id="95" w:name="ref-asad_framework_2026"/>
      <w:bookmarkEnd w:id="94"/>
      <w:r w:rsidRPr="00B119AF">
        <w:rPr>
          <w:rFonts w:ascii="Garamond" w:hAnsi="Garamond"/>
        </w:rPr>
        <w:t xml:space="preserve">Asad, Asad L., and Nima Dahir. 2026. “A Framework for Bridging Conventional and Critical Perspectives on Immigrant Assimilation.” </w:t>
      </w:r>
      <w:r w:rsidRPr="00B119AF">
        <w:rPr>
          <w:rFonts w:ascii="Garamond" w:hAnsi="Garamond"/>
          <w:i/>
          <w:iCs/>
        </w:rPr>
        <w:t>Ethnic and Racial Studies</w:t>
      </w:r>
      <w:r w:rsidRPr="00B119AF">
        <w:rPr>
          <w:rFonts w:ascii="Garamond" w:hAnsi="Garamond"/>
        </w:rPr>
        <w:t xml:space="preserve"> 0 (0): 1–27. </w:t>
      </w:r>
      <w:hyperlink r:id="rId26">
        <w:r w:rsidR="00C70A7F" w:rsidRPr="00B119AF">
          <w:rPr>
            <w:rStyle w:val="Hyperlink"/>
            <w:rFonts w:ascii="Garamond" w:hAnsi="Garamond"/>
          </w:rPr>
          <w:t>https://doi.org/10.1080/01419870.2026.2667901</w:t>
        </w:r>
      </w:hyperlink>
      <w:r w:rsidRPr="00B119AF">
        <w:rPr>
          <w:rFonts w:ascii="Garamond" w:hAnsi="Garamond"/>
        </w:rPr>
        <w:t>.</w:t>
      </w:r>
    </w:p>
    <w:p w14:paraId="0D357C1C" w14:textId="77777777" w:rsidR="00C70A7F" w:rsidRPr="00B119AF" w:rsidRDefault="00000000">
      <w:pPr>
        <w:pStyle w:val="Bibliography"/>
        <w:rPr>
          <w:rFonts w:ascii="Garamond" w:hAnsi="Garamond"/>
        </w:rPr>
      </w:pPr>
      <w:bookmarkStart w:id="96" w:name="ref-berry_theories_2017"/>
      <w:bookmarkEnd w:id="95"/>
      <w:r w:rsidRPr="00B119AF">
        <w:rPr>
          <w:rFonts w:ascii="Garamond" w:hAnsi="Garamond"/>
        </w:rPr>
        <w:t xml:space="preserve">Berry, John W. 2017. “Theories and Models of Acculturation.” In </w:t>
      </w:r>
      <w:r w:rsidRPr="00B119AF">
        <w:rPr>
          <w:rFonts w:ascii="Garamond" w:hAnsi="Garamond"/>
          <w:i/>
          <w:iCs/>
        </w:rPr>
        <w:t>The Oxford Handbook of Acculturation and Health</w:t>
      </w:r>
      <w:r w:rsidRPr="00B119AF">
        <w:rPr>
          <w:rFonts w:ascii="Garamond" w:hAnsi="Garamond"/>
        </w:rPr>
        <w:t>. Oxford Library of Psychology. Oxford University Press.</w:t>
      </w:r>
    </w:p>
    <w:p w14:paraId="57E6E343" w14:textId="77777777" w:rsidR="00C70A7F" w:rsidRPr="00B119AF" w:rsidRDefault="00000000">
      <w:pPr>
        <w:pStyle w:val="Bibliography"/>
        <w:rPr>
          <w:rFonts w:ascii="Garamond" w:hAnsi="Garamond"/>
        </w:rPr>
      </w:pPr>
      <w:bookmarkStart w:id="97" w:name="ref-bloemraad_claiming_2022"/>
      <w:bookmarkEnd w:id="96"/>
      <w:r w:rsidRPr="00B119AF">
        <w:rPr>
          <w:rFonts w:ascii="Garamond" w:hAnsi="Garamond"/>
        </w:rPr>
        <w:t xml:space="preserve">Bloemraad, Irene. 2022. “Claiming Membership: Boundaries, Positionality, US Citizenship, and What It Means to Be American.” </w:t>
      </w:r>
      <w:r w:rsidRPr="00B119AF">
        <w:rPr>
          <w:rFonts w:ascii="Garamond" w:hAnsi="Garamond"/>
          <w:i/>
          <w:iCs/>
        </w:rPr>
        <w:t>Ethnic and Racial Studies</w:t>
      </w:r>
      <w:r w:rsidRPr="00B119AF">
        <w:rPr>
          <w:rFonts w:ascii="Garamond" w:hAnsi="Garamond"/>
        </w:rPr>
        <w:t xml:space="preserve"> 45 (6): 1011–33. </w:t>
      </w:r>
      <w:hyperlink r:id="rId27">
        <w:r w:rsidR="00C70A7F" w:rsidRPr="00B119AF">
          <w:rPr>
            <w:rStyle w:val="Hyperlink"/>
            <w:rFonts w:ascii="Garamond" w:hAnsi="Garamond"/>
          </w:rPr>
          <w:t>https://doi.org/10.1080/01419870.2021.1986225</w:t>
        </w:r>
      </w:hyperlink>
      <w:r w:rsidRPr="00B119AF">
        <w:rPr>
          <w:rFonts w:ascii="Garamond" w:hAnsi="Garamond"/>
        </w:rPr>
        <w:t>.</w:t>
      </w:r>
    </w:p>
    <w:p w14:paraId="4FA957CE" w14:textId="77777777" w:rsidR="00C70A7F" w:rsidRPr="00B119AF" w:rsidRDefault="00000000">
      <w:pPr>
        <w:pStyle w:val="Bibliography"/>
        <w:rPr>
          <w:rFonts w:ascii="Garamond" w:hAnsi="Garamond"/>
        </w:rPr>
      </w:pPr>
      <w:bookmarkStart w:id="98" w:name="ref-brubaker_return_2001"/>
      <w:bookmarkEnd w:id="97"/>
      <w:r w:rsidRPr="00B119AF">
        <w:rPr>
          <w:rFonts w:ascii="Garamond" w:hAnsi="Garamond"/>
        </w:rPr>
        <w:t xml:space="preserve">Brubaker, Rogers. 2001. “The Return of Assimilation? Changing Perspectives on Immigration and Its Sequels in France, Germany, and the United States.” </w:t>
      </w:r>
      <w:r w:rsidRPr="00B119AF">
        <w:rPr>
          <w:rFonts w:ascii="Garamond" w:hAnsi="Garamond"/>
          <w:i/>
          <w:iCs/>
        </w:rPr>
        <w:t>Ethnic and Racial Studies</w:t>
      </w:r>
      <w:r w:rsidRPr="00B119AF">
        <w:rPr>
          <w:rFonts w:ascii="Garamond" w:hAnsi="Garamond"/>
        </w:rPr>
        <w:t xml:space="preserve"> 24 (4): 531–48. </w:t>
      </w:r>
      <w:hyperlink r:id="rId28">
        <w:r w:rsidR="00C70A7F" w:rsidRPr="00B119AF">
          <w:rPr>
            <w:rStyle w:val="Hyperlink"/>
            <w:rFonts w:ascii="Garamond" w:hAnsi="Garamond"/>
          </w:rPr>
          <w:t>https://doi.org/10.1080/01419870120049770</w:t>
        </w:r>
      </w:hyperlink>
      <w:r w:rsidRPr="00B119AF">
        <w:rPr>
          <w:rFonts w:ascii="Garamond" w:hAnsi="Garamond"/>
        </w:rPr>
        <w:t>.</w:t>
      </w:r>
    </w:p>
    <w:p w14:paraId="2E9A6B34" w14:textId="77777777" w:rsidR="00C70A7F" w:rsidRPr="00B119AF" w:rsidRDefault="00000000">
      <w:pPr>
        <w:pStyle w:val="Bibliography"/>
        <w:rPr>
          <w:rFonts w:ascii="Garamond" w:hAnsi="Garamond"/>
        </w:rPr>
      </w:pPr>
      <w:bookmarkStart w:id="99" w:name="ref-clerge_new_2019"/>
      <w:bookmarkEnd w:id="98"/>
      <w:r w:rsidRPr="00B119AF">
        <w:rPr>
          <w:rFonts w:ascii="Garamond" w:hAnsi="Garamond"/>
        </w:rPr>
        <w:t xml:space="preserve">Clerge, Orly. 2019. </w:t>
      </w:r>
      <w:r w:rsidRPr="00B119AF">
        <w:rPr>
          <w:rFonts w:ascii="Garamond" w:hAnsi="Garamond"/>
          <w:i/>
          <w:iCs/>
        </w:rPr>
        <w:t>The New Noir: Race, Identity, and Diaspora in Black Suburbia</w:t>
      </w:r>
      <w:r w:rsidRPr="00B119AF">
        <w:rPr>
          <w:rFonts w:ascii="Garamond" w:hAnsi="Garamond"/>
        </w:rPr>
        <w:t xml:space="preserve">. University of California Press. </w:t>
      </w:r>
      <w:hyperlink r:id="rId29">
        <w:r w:rsidR="00C70A7F" w:rsidRPr="00B119AF">
          <w:rPr>
            <w:rStyle w:val="Hyperlink"/>
            <w:rFonts w:ascii="Garamond" w:hAnsi="Garamond"/>
          </w:rPr>
          <w:t>https://doi.org/10.1525/9780520969131</w:t>
        </w:r>
      </w:hyperlink>
      <w:r w:rsidRPr="00B119AF">
        <w:rPr>
          <w:rFonts w:ascii="Garamond" w:hAnsi="Garamond"/>
        </w:rPr>
        <w:t>.</w:t>
      </w:r>
    </w:p>
    <w:p w14:paraId="750F7CE9" w14:textId="77777777" w:rsidR="00C70A7F" w:rsidRPr="00B119AF" w:rsidRDefault="00000000">
      <w:pPr>
        <w:pStyle w:val="Bibliography"/>
        <w:rPr>
          <w:rFonts w:ascii="Garamond" w:hAnsi="Garamond"/>
        </w:rPr>
      </w:pPr>
      <w:bookmarkStart w:id="100" w:name="ref-cornell_ethnicity_2007"/>
      <w:bookmarkEnd w:id="99"/>
      <w:r w:rsidRPr="00B119AF">
        <w:rPr>
          <w:rFonts w:ascii="Garamond" w:hAnsi="Garamond"/>
        </w:rPr>
        <w:t xml:space="preserve">Cornell, Stephen E., and Douglas Hartmann. 2007. </w:t>
      </w:r>
      <w:r w:rsidRPr="00B119AF">
        <w:rPr>
          <w:rFonts w:ascii="Garamond" w:hAnsi="Garamond"/>
          <w:i/>
          <w:iCs/>
        </w:rPr>
        <w:t>Ethnicity and Race: Making Identities in a Changing World</w:t>
      </w:r>
      <w:r w:rsidRPr="00B119AF">
        <w:rPr>
          <w:rFonts w:ascii="Garamond" w:hAnsi="Garamond"/>
        </w:rPr>
        <w:t>. 2nd ed. Sociology for a New Century. Pine Forge Press, an Imprint of Sage Publication.</w:t>
      </w:r>
    </w:p>
    <w:p w14:paraId="6E37DA5F" w14:textId="77777777" w:rsidR="00C70A7F" w:rsidRPr="00B119AF" w:rsidRDefault="00000000">
      <w:pPr>
        <w:pStyle w:val="Bibliography"/>
        <w:rPr>
          <w:rFonts w:ascii="Garamond" w:hAnsi="Garamond"/>
        </w:rPr>
      </w:pPr>
      <w:bookmarkStart w:id="101" w:name="ref-drouhot_assimilation_2024"/>
      <w:bookmarkEnd w:id="100"/>
      <w:r w:rsidRPr="00B119AF">
        <w:rPr>
          <w:rFonts w:ascii="Garamond" w:hAnsi="Garamond"/>
        </w:rPr>
        <w:t xml:space="preserve">Drouhot, Lucas G. 2024. “Assimilation Theories in the 21st Century: Appraising Accomplishments and Future Challenges.” </w:t>
      </w:r>
      <w:r w:rsidRPr="00B119AF">
        <w:rPr>
          <w:rFonts w:ascii="Garamond" w:hAnsi="Garamond"/>
          <w:i/>
          <w:iCs/>
        </w:rPr>
        <w:t>International Migration Review</w:t>
      </w:r>
      <w:r w:rsidRPr="00B119AF">
        <w:rPr>
          <w:rFonts w:ascii="Garamond" w:hAnsi="Garamond"/>
        </w:rPr>
        <w:t xml:space="preserve"> 58 (4): 1974–2011. </w:t>
      </w:r>
      <w:hyperlink r:id="rId30">
        <w:r w:rsidR="00C70A7F" w:rsidRPr="00B119AF">
          <w:rPr>
            <w:rStyle w:val="Hyperlink"/>
            <w:rFonts w:ascii="Garamond" w:hAnsi="Garamond"/>
          </w:rPr>
          <w:t>https://doi.org/10.1177/01979183241274747</w:t>
        </w:r>
      </w:hyperlink>
      <w:r w:rsidRPr="00B119AF">
        <w:rPr>
          <w:rFonts w:ascii="Garamond" w:hAnsi="Garamond"/>
        </w:rPr>
        <w:t>.</w:t>
      </w:r>
    </w:p>
    <w:p w14:paraId="6FC165B8" w14:textId="77777777" w:rsidR="00C70A7F" w:rsidRPr="00B119AF" w:rsidRDefault="00000000">
      <w:pPr>
        <w:pStyle w:val="Bibliography"/>
        <w:rPr>
          <w:rFonts w:ascii="Garamond" w:hAnsi="Garamond"/>
        </w:rPr>
      </w:pPr>
      <w:bookmarkStart w:id="102" w:name="ref-gans_symbolic_1979"/>
      <w:bookmarkEnd w:id="101"/>
      <w:r w:rsidRPr="00B119AF">
        <w:rPr>
          <w:rFonts w:ascii="Garamond" w:hAnsi="Garamond"/>
        </w:rPr>
        <w:t xml:space="preserve">Gans, Herbert J. 1979. “Symbolic Ethnicity: The Future of Ethnic Groups and Cultures in America*.” </w:t>
      </w:r>
      <w:r w:rsidRPr="00B119AF">
        <w:rPr>
          <w:rFonts w:ascii="Garamond" w:hAnsi="Garamond"/>
          <w:i/>
          <w:iCs/>
        </w:rPr>
        <w:t>Ethnic and Racial Studies</w:t>
      </w:r>
      <w:r w:rsidRPr="00B119AF">
        <w:rPr>
          <w:rFonts w:ascii="Garamond" w:hAnsi="Garamond"/>
        </w:rPr>
        <w:t xml:space="preserve"> 2 (1): 1–20. </w:t>
      </w:r>
      <w:hyperlink r:id="rId31">
        <w:r w:rsidR="00C70A7F" w:rsidRPr="00B119AF">
          <w:rPr>
            <w:rStyle w:val="Hyperlink"/>
            <w:rFonts w:ascii="Garamond" w:hAnsi="Garamond"/>
          </w:rPr>
          <w:t>https://doi.org/10.1080/01419870.1979.9993248</w:t>
        </w:r>
      </w:hyperlink>
      <w:r w:rsidRPr="00B119AF">
        <w:rPr>
          <w:rFonts w:ascii="Garamond" w:hAnsi="Garamond"/>
        </w:rPr>
        <w:t>.</w:t>
      </w:r>
    </w:p>
    <w:p w14:paraId="696843BF" w14:textId="77777777" w:rsidR="00C70A7F" w:rsidRPr="00B119AF" w:rsidRDefault="00000000">
      <w:pPr>
        <w:pStyle w:val="Bibliography"/>
        <w:rPr>
          <w:rFonts w:ascii="Garamond" w:hAnsi="Garamond"/>
        </w:rPr>
      </w:pPr>
      <w:bookmarkStart w:id="103" w:name="ref-gomez2026hispanic"/>
      <w:bookmarkEnd w:id="102"/>
      <w:r w:rsidRPr="00B119AF">
        <w:rPr>
          <w:rFonts w:ascii="Garamond" w:hAnsi="Garamond"/>
        </w:rPr>
        <w:t xml:space="preserve">Gómez, Gabriel, Amanda Sahar D’Urso, and Mike Cowburn. 2026. “Explaining Hispanic Support for Donald Trump: A Longitudinal Analysis of Competing Explanations, 2016–2024.” Working Paper. July. </w:t>
      </w:r>
      <w:hyperlink r:id="rId32">
        <w:r w:rsidR="00C70A7F" w:rsidRPr="00B119AF">
          <w:rPr>
            <w:rStyle w:val="Hyperlink"/>
            <w:rFonts w:ascii="Garamond" w:hAnsi="Garamond"/>
          </w:rPr>
          <w:t>https://mikecowburn.com/wp-content/uploads/Gomez-DUrso-Cowburn-Hispanic-Support-for-Donald-Trump.pdf</w:t>
        </w:r>
      </w:hyperlink>
      <w:r w:rsidRPr="00B119AF">
        <w:rPr>
          <w:rFonts w:ascii="Garamond" w:hAnsi="Garamond"/>
        </w:rPr>
        <w:t>.</w:t>
      </w:r>
    </w:p>
    <w:p w14:paraId="5FFBD29F" w14:textId="77777777" w:rsidR="00C70A7F" w:rsidRPr="00B119AF" w:rsidRDefault="00000000">
      <w:pPr>
        <w:pStyle w:val="Bibliography"/>
        <w:rPr>
          <w:rFonts w:ascii="Garamond" w:hAnsi="Garamond"/>
        </w:rPr>
      </w:pPr>
      <w:bookmarkStart w:id="104" w:name="ref-gordon_assimilation_1964"/>
      <w:bookmarkEnd w:id="103"/>
      <w:r w:rsidRPr="00B119AF">
        <w:rPr>
          <w:rFonts w:ascii="Garamond" w:hAnsi="Garamond"/>
        </w:rPr>
        <w:t xml:space="preserve">Gordon, Milton M. 1964. </w:t>
      </w:r>
      <w:r w:rsidRPr="00B119AF">
        <w:rPr>
          <w:rFonts w:ascii="Garamond" w:hAnsi="Garamond"/>
          <w:i/>
          <w:iCs/>
        </w:rPr>
        <w:t>Assimilation in American Life: The Role of Race, Religion and National Origins</w:t>
      </w:r>
      <w:r w:rsidRPr="00B119AF">
        <w:rPr>
          <w:rFonts w:ascii="Garamond" w:hAnsi="Garamond"/>
        </w:rPr>
        <w:t>. Oxford University Press, Incorporated.</w:t>
      </w:r>
    </w:p>
    <w:p w14:paraId="5ACC0E9A" w14:textId="77777777" w:rsidR="00C70A7F" w:rsidRPr="00B119AF" w:rsidRDefault="00000000">
      <w:pPr>
        <w:pStyle w:val="Bibliography"/>
        <w:rPr>
          <w:rFonts w:ascii="Garamond" w:hAnsi="Garamond"/>
        </w:rPr>
      </w:pPr>
      <w:bookmarkStart w:id="105" w:name="ref-hamilton_black_2020"/>
      <w:bookmarkEnd w:id="104"/>
      <w:r w:rsidRPr="00B119AF">
        <w:rPr>
          <w:rFonts w:ascii="Garamond" w:hAnsi="Garamond"/>
        </w:rPr>
        <w:t xml:space="preserve">Hamilton, Tod G. 2020. “Black Immigrants and the Changing Portrait of Black America.” </w:t>
      </w:r>
      <w:r w:rsidRPr="00B119AF">
        <w:rPr>
          <w:rFonts w:ascii="Garamond" w:hAnsi="Garamond"/>
          <w:i/>
          <w:iCs/>
        </w:rPr>
        <w:t>Annual Review of Sociology</w:t>
      </w:r>
      <w:r w:rsidRPr="00B119AF">
        <w:rPr>
          <w:rFonts w:ascii="Garamond" w:hAnsi="Garamond"/>
        </w:rPr>
        <w:t xml:space="preserve"> 46 (Volume 46, 2020): 295–313. </w:t>
      </w:r>
      <w:hyperlink r:id="rId33">
        <w:r w:rsidR="00C70A7F" w:rsidRPr="00B119AF">
          <w:rPr>
            <w:rStyle w:val="Hyperlink"/>
            <w:rFonts w:ascii="Garamond" w:hAnsi="Garamond"/>
          </w:rPr>
          <w:t>https://doi.org/10.1146/annurev-soc-121919-054728</w:t>
        </w:r>
      </w:hyperlink>
      <w:r w:rsidRPr="00B119AF">
        <w:rPr>
          <w:rFonts w:ascii="Garamond" w:hAnsi="Garamond"/>
        </w:rPr>
        <w:t>.</w:t>
      </w:r>
    </w:p>
    <w:p w14:paraId="615918EA" w14:textId="77777777" w:rsidR="00C70A7F" w:rsidRPr="00B119AF" w:rsidRDefault="00000000">
      <w:pPr>
        <w:pStyle w:val="Bibliography"/>
        <w:rPr>
          <w:rFonts w:ascii="Garamond" w:hAnsi="Garamond"/>
        </w:rPr>
      </w:pPr>
      <w:bookmarkStart w:id="106" w:name="ref-hirsch_assimilation_1942"/>
      <w:bookmarkEnd w:id="105"/>
      <w:r w:rsidRPr="00B119AF">
        <w:rPr>
          <w:rFonts w:ascii="Garamond" w:hAnsi="Garamond"/>
        </w:rPr>
        <w:t xml:space="preserve">Hirsch, Walter. 1942. “Assimilation as Concept and as Process.” </w:t>
      </w:r>
      <w:r w:rsidRPr="00B119AF">
        <w:rPr>
          <w:rFonts w:ascii="Garamond" w:hAnsi="Garamond"/>
          <w:i/>
          <w:iCs/>
        </w:rPr>
        <w:t>Social Forces</w:t>
      </w:r>
      <w:r w:rsidRPr="00B119AF">
        <w:rPr>
          <w:rFonts w:ascii="Garamond" w:hAnsi="Garamond"/>
        </w:rPr>
        <w:t xml:space="preserve"> 21 (1): 35–39. </w:t>
      </w:r>
      <w:hyperlink r:id="rId34">
        <w:r w:rsidR="00C70A7F" w:rsidRPr="00B119AF">
          <w:rPr>
            <w:rStyle w:val="Hyperlink"/>
            <w:rFonts w:ascii="Garamond" w:hAnsi="Garamond"/>
          </w:rPr>
          <w:t>https://doi.org/10.2307/2570428</w:t>
        </w:r>
      </w:hyperlink>
      <w:r w:rsidRPr="00B119AF">
        <w:rPr>
          <w:rFonts w:ascii="Garamond" w:hAnsi="Garamond"/>
        </w:rPr>
        <w:t>.</w:t>
      </w:r>
    </w:p>
    <w:p w14:paraId="321DA339" w14:textId="77777777" w:rsidR="00C70A7F" w:rsidRPr="00B119AF" w:rsidRDefault="00000000">
      <w:pPr>
        <w:pStyle w:val="Bibliography"/>
        <w:rPr>
          <w:rFonts w:ascii="Garamond" w:hAnsi="Garamond"/>
        </w:rPr>
      </w:pPr>
      <w:bookmarkStart w:id="107" w:name="ref-karim2026majority"/>
      <w:bookmarkEnd w:id="106"/>
      <w:r w:rsidRPr="00B119AF">
        <w:rPr>
          <w:rFonts w:ascii="Garamond" w:hAnsi="Garamond"/>
        </w:rPr>
        <w:t xml:space="preserve">Karim, Sakeef M. 2026. “The Intergenerational Transmission of Majority-Group Ties and Their Political Consequences.” Working Paper. July. </w:t>
      </w:r>
      <w:hyperlink r:id="rId35">
        <w:r w:rsidR="00C70A7F" w:rsidRPr="00B119AF">
          <w:rPr>
            <w:rStyle w:val="Hyperlink"/>
            <w:rFonts w:ascii="Garamond" w:hAnsi="Garamond"/>
          </w:rPr>
          <w:t>https://www.sakeefkarim.com/research/papers/pdf/skarim_majority_ties.pdf</w:t>
        </w:r>
      </w:hyperlink>
      <w:r w:rsidRPr="00B119AF">
        <w:rPr>
          <w:rFonts w:ascii="Garamond" w:hAnsi="Garamond"/>
        </w:rPr>
        <w:t>.</w:t>
      </w:r>
    </w:p>
    <w:p w14:paraId="360B8FDC" w14:textId="77777777" w:rsidR="00C70A7F" w:rsidRPr="00B119AF" w:rsidRDefault="00000000">
      <w:pPr>
        <w:pStyle w:val="Bibliography"/>
        <w:rPr>
          <w:rFonts w:ascii="Garamond" w:hAnsi="Garamond"/>
        </w:rPr>
      </w:pPr>
      <w:bookmarkStart w:id="108" w:name="ref-kivisto_robert_2017"/>
      <w:bookmarkEnd w:id="107"/>
      <w:r w:rsidRPr="00B119AF">
        <w:rPr>
          <w:rFonts w:ascii="Garamond" w:hAnsi="Garamond"/>
        </w:rPr>
        <w:lastRenderedPageBreak/>
        <w:t xml:space="preserve">Kivisto, Peter. 2017. “Robert E. Park’s Theory of Assimilation and Beyond.” In </w:t>
      </w:r>
      <w:r w:rsidRPr="00B119AF">
        <w:rPr>
          <w:rFonts w:ascii="Garamond" w:hAnsi="Garamond"/>
          <w:i/>
          <w:iCs/>
        </w:rPr>
        <w:t>The Anthem Companion to Robert Park</w:t>
      </w:r>
      <w:r w:rsidRPr="00B119AF">
        <w:rPr>
          <w:rFonts w:ascii="Garamond" w:hAnsi="Garamond"/>
        </w:rPr>
        <w:t xml:space="preserve">, edited by Peter Kivisto. Anthem Press. </w:t>
      </w:r>
      <w:hyperlink r:id="rId36">
        <w:r w:rsidR="00C70A7F" w:rsidRPr="00B119AF">
          <w:rPr>
            <w:rStyle w:val="Hyperlink"/>
            <w:rFonts w:ascii="Garamond" w:hAnsi="Garamond"/>
          </w:rPr>
          <w:t>http://www.jstor.org/stable/j.ctt1q8jhwd.9</w:t>
        </w:r>
      </w:hyperlink>
      <w:r w:rsidRPr="00B119AF">
        <w:rPr>
          <w:rFonts w:ascii="Garamond" w:hAnsi="Garamond"/>
        </w:rPr>
        <w:t>.</w:t>
      </w:r>
    </w:p>
    <w:p w14:paraId="749AAFB4" w14:textId="77777777" w:rsidR="00C70A7F" w:rsidRPr="00B119AF" w:rsidRDefault="00000000">
      <w:pPr>
        <w:pStyle w:val="Bibliography"/>
        <w:rPr>
          <w:rFonts w:ascii="Garamond" w:hAnsi="Garamond"/>
        </w:rPr>
      </w:pPr>
      <w:bookmarkStart w:id="109" w:name="ref-lee_racialized_2016"/>
      <w:bookmarkEnd w:id="108"/>
      <w:r w:rsidRPr="00B119AF">
        <w:rPr>
          <w:rFonts w:ascii="Garamond" w:hAnsi="Garamond"/>
        </w:rPr>
        <w:t xml:space="preserve">Lee, Jennifer C., and Samuel Kye. 2016. “Racialized Assimilation of Asian Americans.” </w:t>
      </w:r>
      <w:r w:rsidRPr="00B119AF">
        <w:rPr>
          <w:rFonts w:ascii="Garamond" w:hAnsi="Garamond"/>
          <w:i/>
          <w:iCs/>
        </w:rPr>
        <w:t>Annual Review of Sociology</w:t>
      </w:r>
      <w:r w:rsidRPr="00B119AF">
        <w:rPr>
          <w:rFonts w:ascii="Garamond" w:hAnsi="Garamond"/>
        </w:rPr>
        <w:t xml:space="preserve"> 42 (Volume 42, 2016): 253–73. </w:t>
      </w:r>
      <w:hyperlink r:id="rId37">
        <w:r w:rsidR="00C70A7F" w:rsidRPr="00B119AF">
          <w:rPr>
            <w:rStyle w:val="Hyperlink"/>
            <w:rFonts w:ascii="Garamond" w:hAnsi="Garamond"/>
          </w:rPr>
          <w:t>https://doi.org/10.1146/annurev-soc-081715-074310</w:t>
        </w:r>
      </w:hyperlink>
      <w:r w:rsidRPr="00B119AF">
        <w:rPr>
          <w:rFonts w:ascii="Garamond" w:hAnsi="Garamond"/>
        </w:rPr>
        <w:t>.</w:t>
      </w:r>
    </w:p>
    <w:p w14:paraId="6D5382DA" w14:textId="77777777" w:rsidR="00C70A7F" w:rsidRPr="00B119AF" w:rsidRDefault="00000000">
      <w:pPr>
        <w:pStyle w:val="Bibliography"/>
        <w:rPr>
          <w:rFonts w:ascii="Garamond" w:hAnsi="Garamond"/>
        </w:rPr>
      </w:pPr>
      <w:bookmarkStart w:id="110" w:name="ref-lee_asian_2024"/>
      <w:bookmarkEnd w:id="109"/>
      <w:r w:rsidRPr="00B119AF">
        <w:rPr>
          <w:rFonts w:ascii="Garamond" w:hAnsi="Garamond"/>
        </w:rPr>
        <w:t xml:space="preserve">Lee, Jennifer, and Dian Sheng. 2024. “The Asian American Assimilation Paradox.” </w:t>
      </w:r>
      <w:r w:rsidRPr="00B119AF">
        <w:rPr>
          <w:rFonts w:ascii="Garamond" w:hAnsi="Garamond"/>
          <w:i/>
          <w:iCs/>
        </w:rPr>
        <w:t>Journal of Ethnic and Migration Studies</w:t>
      </w:r>
      <w:r w:rsidRPr="00B119AF">
        <w:rPr>
          <w:rFonts w:ascii="Garamond" w:hAnsi="Garamond"/>
        </w:rPr>
        <w:t xml:space="preserve"> 50 (1): 68–94. </w:t>
      </w:r>
      <w:hyperlink r:id="rId38">
        <w:r w:rsidR="00C70A7F" w:rsidRPr="00B119AF">
          <w:rPr>
            <w:rStyle w:val="Hyperlink"/>
            <w:rFonts w:ascii="Garamond" w:hAnsi="Garamond"/>
          </w:rPr>
          <w:t>https://doi.org/10.1080/1369183X.2023.2183965</w:t>
        </w:r>
      </w:hyperlink>
      <w:r w:rsidRPr="00B119AF">
        <w:rPr>
          <w:rFonts w:ascii="Garamond" w:hAnsi="Garamond"/>
        </w:rPr>
        <w:t>.</w:t>
      </w:r>
    </w:p>
    <w:p w14:paraId="37CFC5C7" w14:textId="77777777" w:rsidR="00C70A7F" w:rsidRPr="00B119AF" w:rsidRDefault="00000000">
      <w:pPr>
        <w:pStyle w:val="Bibliography"/>
        <w:rPr>
          <w:rFonts w:ascii="Garamond" w:hAnsi="Garamond"/>
        </w:rPr>
      </w:pPr>
      <w:bookmarkStart w:id="111" w:name="ref-lee_asian_2015"/>
      <w:bookmarkEnd w:id="110"/>
      <w:r w:rsidRPr="00B119AF">
        <w:rPr>
          <w:rFonts w:ascii="Garamond" w:hAnsi="Garamond"/>
        </w:rPr>
        <w:t xml:space="preserve">Lee, Jennifer, and Min Zhou. 2015. </w:t>
      </w:r>
      <w:r w:rsidRPr="00B119AF">
        <w:rPr>
          <w:rFonts w:ascii="Garamond" w:hAnsi="Garamond"/>
          <w:i/>
          <w:iCs/>
        </w:rPr>
        <w:t>The Asian American Achievement Paradox</w:t>
      </w:r>
      <w:r w:rsidRPr="00B119AF">
        <w:rPr>
          <w:rFonts w:ascii="Garamond" w:hAnsi="Garamond"/>
        </w:rPr>
        <w:t xml:space="preserve">. Russell Sage Foundation. </w:t>
      </w:r>
      <w:hyperlink r:id="rId39">
        <w:r w:rsidR="00C70A7F" w:rsidRPr="00B119AF">
          <w:rPr>
            <w:rStyle w:val="Hyperlink"/>
            <w:rFonts w:ascii="Garamond" w:hAnsi="Garamond"/>
          </w:rPr>
          <w:t>http://www.jstor.org.amherst.idm.oclc.org/stable/10.7758/9781610448505</w:t>
        </w:r>
      </w:hyperlink>
      <w:r w:rsidRPr="00B119AF">
        <w:rPr>
          <w:rFonts w:ascii="Garamond" w:hAnsi="Garamond"/>
        </w:rPr>
        <w:t>.</w:t>
      </w:r>
    </w:p>
    <w:p w14:paraId="38E34261" w14:textId="77777777" w:rsidR="00C70A7F" w:rsidRPr="00B119AF" w:rsidRDefault="00000000">
      <w:pPr>
        <w:pStyle w:val="Bibliography"/>
        <w:rPr>
          <w:rFonts w:ascii="Garamond" w:hAnsi="Garamond"/>
        </w:rPr>
      </w:pPr>
      <w:bookmarkStart w:id="112" w:name="ref-mora_who_2022"/>
      <w:bookmarkEnd w:id="111"/>
      <w:r w:rsidRPr="00B119AF">
        <w:rPr>
          <w:rFonts w:ascii="Garamond" w:hAnsi="Garamond"/>
        </w:rPr>
        <w:t xml:space="preserve">Mora, G Cristina, Reuben Perez, and Nicholas Vargas. 2022. “Who Identifies as ‘Latinx’? The Generational Politics of Ethnoracial Labels.” </w:t>
      </w:r>
      <w:r w:rsidRPr="00B119AF">
        <w:rPr>
          <w:rFonts w:ascii="Garamond" w:hAnsi="Garamond"/>
          <w:i/>
          <w:iCs/>
        </w:rPr>
        <w:t>Social Forces</w:t>
      </w:r>
      <w:r w:rsidRPr="00B119AF">
        <w:rPr>
          <w:rFonts w:ascii="Garamond" w:hAnsi="Garamond"/>
        </w:rPr>
        <w:t xml:space="preserve"> 100 (3): 1170–94. </w:t>
      </w:r>
      <w:hyperlink r:id="rId40">
        <w:r w:rsidR="00C70A7F" w:rsidRPr="00B119AF">
          <w:rPr>
            <w:rStyle w:val="Hyperlink"/>
            <w:rFonts w:ascii="Garamond" w:hAnsi="Garamond"/>
          </w:rPr>
          <w:t>https://doi.org/10.1093/sf/soab011</w:t>
        </w:r>
      </w:hyperlink>
      <w:r w:rsidRPr="00B119AF">
        <w:rPr>
          <w:rFonts w:ascii="Garamond" w:hAnsi="Garamond"/>
        </w:rPr>
        <w:t>.</w:t>
      </w:r>
    </w:p>
    <w:p w14:paraId="017649FA" w14:textId="77777777" w:rsidR="00C70A7F" w:rsidRPr="00B119AF" w:rsidRDefault="00000000">
      <w:pPr>
        <w:pStyle w:val="Bibliography"/>
        <w:rPr>
          <w:rFonts w:ascii="Garamond" w:hAnsi="Garamond"/>
        </w:rPr>
      </w:pPr>
      <w:bookmarkStart w:id="113" w:name="ref-wittek_assimilation_2013"/>
      <w:bookmarkEnd w:id="112"/>
      <w:r w:rsidRPr="00B119AF">
        <w:rPr>
          <w:rFonts w:ascii="Garamond" w:hAnsi="Garamond"/>
        </w:rPr>
        <w:t xml:space="preserve">Nee, Victor, and Richard Alba. 2013. “Assimilation as Rational Action in Contexts Defined by Institutions and Boundaries.” In </w:t>
      </w:r>
      <w:r w:rsidRPr="00B119AF">
        <w:rPr>
          <w:rFonts w:ascii="Garamond" w:hAnsi="Garamond"/>
          <w:i/>
          <w:iCs/>
        </w:rPr>
        <w:t>The Handbook of Rational Choice Social Research</w:t>
      </w:r>
      <w:r w:rsidRPr="00B119AF">
        <w:rPr>
          <w:rFonts w:ascii="Garamond" w:hAnsi="Garamond"/>
        </w:rPr>
        <w:t xml:space="preserve">, edited by Rafael Wittek, Tom A. B. Snijders, and Victor Nee. Stanford University Press. </w:t>
      </w:r>
      <w:hyperlink r:id="rId41">
        <w:r w:rsidR="00C70A7F" w:rsidRPr="00B119AF">
          <w:rPr>
            <w:rStyle w:val="Hyperlink"/>
            <w:rFonts w:ascii="Garamond" w:hAnsi="Garamond"/>
          </w:rPr>
          <w:t>http://ebookcentral.proquest.com/lib/mcgill/detail.action?docID=1210895</w:t>
        </w:r>
      </w:hyperlink>
      <w:r w:rsidRPr="00B119AF">
        <w:rPr>
          <w:rFonts w:ascii="Garamond" w:hAnsi="Garamond"/>
        </w:rPr>
        <w:t>.</w:t>
      </w:r>
    </w:p>
    <w:p w14:paraId="32009AEB" w14:textId="77777777" w:rsidR="00C70A7F" w:rsidRPr="00B119AF" w:rsidRDefault="00000000">
      <w:pPr>
        <w:pStyle w:val="Bibliography"/>
        <w:rPr>
          <w:rFonts w:ascii="Garamond" w:hAnsi="Garamond"/>
        </w:rPr>
      </w:pPr>
      <w:bookmarkStart w:id="114" w:name="ref-okura_red_2026"/>
      <w:bookmarkEnd w:id="113"/>
      <w:r w:rsidRPr="00B119AF">
        <w:rPr>
          <w:rFonts w:ascii="Garamond" w:hAnsi="Garamond"/>
        </w:rPr>
        <w:t xml:space="preserve">Okura, Keitaro. 2026. “Red and Blue Immigrants: Political (Mis)Alignment, Immigration Attitudes, and the Boundaries of American National Inclusion1.” </w:t>
      </w:r>
      <w:r w:rsidRPr="00B119AF">
        <w:rPr>
          <w:rFonts w:ascii="Garamond" w:hAnsi="Garamond"/>
          <w:i/>
          <w:iCs/>
        </w:rPr>
        <w:t>American Journal of Sociology</w:t>
      </w:r>
      <w:r w:rsidRPr="00B119AF">
        <w:rPr>
          <w:rFonts w:ascii="Garamond" w:hAnsi="Garamond"/>
        </w:rPr>
        <w:t xml:space="preserve"> 131 (4): 729–72. </w:t>
      </w:r>
      <w:hyperlink r:id="rId42">
        <w:r w:rsidR="00C70A7F" w:rsidRPr="00B119AF">
          <w:rPr>
            <w:rStyle w:val="Hyperlink"/>
            <w:rFonts w:ascii="Garamond" w:hAnsi="Garamond"/>
          </w:rPr>
          <w:t>https://doi.org/10.1086/739568</w:t>
        </w:r>
      </w:hyperlink>
      <w:r w:rsidRPr="00B119AF">
        <w:rPr>
          <w:rFonts w:ascii="Garamond" w:hAnsi="Garamond"/>
        </w:rPr>
        <w:t>.</w:t>
      </w:r>
    </w:p>
    <w:p w14:paraId="5C43EB75" w14:textId="77777777" w:rsidR="00C70A7F" w:rsidRPr="00B119AF" w:rsidRDefault="00000000">
      <w:pPr>
        <w:pStyle w:val="Bibliography"/>
        <w:rPr>
          <w:rFonts w:ascii="Garamond" w:hAnsi="Garamond"/>
        </w:rPr>
      </w:pPr>
      <w:bookmarkStart w:id="115" w:name="ref-organista_psychology_2010"/>
      <w:bookmarkEnd w:id="114"/>
      <w:r w:rsidRPr="00B119AF">
        <w:rPr>
          <w:rFonts w:ascii="Garamond" w:hAnsi="Garamond"/>
        </w:rPr>
        <w:t xml:space="preserve">Organista, Pamela, Gerardo Marín, and Kevin Chun. 2010. </w:t>
      </w:r>
      <w:r w:rsidRPr="00B119AF">
        <w:rPr>
          <w:rFonts w:ascii="Garamond" w:hAnsi="Garamond"/>
          <w:i/>
          <w:iCs/>
        </w:rPr>
        <w:t>The Psychology of Ethnic Groups in the United States</w:t>
      </w:r>
      <w:r w:rsidRPr="00B119AF">
        <w:rPr>
          <w:rFonts w:ascii="Garamond" w:hAnsi="Garamond"/>
        </w:rPr>
        <w:t xml:space="preserve">. SAGE Publications, Inc. </w:t>
      </w:r>
      <w:hyperlink r:id="rId43">
        <w:r w:rsidR="00C70A7F" w:rsidRPr="00B119AF">
          <w:rPr>
            <w:rStyle w:val="Hyperlink"/>
            <w:rFonts w:ascii="Garamond" w:hAnsi="Garamond"/>
          </w:rPr>
          <w:t>https://doi.org/10.4135/9781452274645</w:t>
        </w:r>
      </w:hyperlink>
      <w:r w:rsidRPr="00B119AF">
        <w:rPr>
          <w:rFonts w:ascii="Garamond" w:hAnsi="Garamond"/>
        </w:rPr>
        <w:t>.</w:t>
      </w:r>
    </w:p>
    <w:p w14:paraId="34ACD4CA" w14:textId="77777777" w:rsidR="00C70A7F" w:rsidRPr="00B119AF" w:rsidRDefault="00000000">
      <w:pPr>
        <w:pStyle w:val="Bibliography"/>
        <w:rPr>
          <w:rFonts w:ascii="Garamond" w:hAnsi="Garamond"/>
        </w:rPr>
      </w:pPr>
      <w:bookmarkStart w:id="116" w:name="ref-park_racial_1914"/>
      <w:bookmarkEnd w:id="115"/>
      <w:r w:rsidRPr="00B119AF">
        <w:rPr>
          <w:rFonts w:ascii="Garamond" w:hAnsi="Garamond"/>
        </w:rPr>
        <w:t xml:space="preserve">Park, Robert E. 1914. “Racial Assimilation in Secondary Groups With Particular Reference to the Negro.” </w:t>
      </w:r>
      <w:r w:rsidRPr="00B119AF">
        <w:rPr>
          <w:rFonts w:ascii="Garamond" w:hAnsi="Garamond"/>
          <w:i/>
          <w:iCs/>
        </w:rPr>
        <w:t>American Journal of Sociology</w:t>
      </w:r>
      <w:r w:rsidRPr="00B119AF">
        <w:rPr>
          <w:rFonts w:ascii="Garamond" w:hAnsi="Garamond"/>
        </w:rPr>
        <w:t xml:space="preserve"> 19 (5): 606–23. </w:t>
      </w:r>
      <w:hyperlink r:id="rId44">
        <w:r w:rsidR="00C70A7F" w:rsidRPr="00B119AF">
          <w:rPr>
            <w:rStyle w:val="Hyperlink"/>
            <w:rFonts w:ascii="Garamond" w:hAnsi="Garamond"/>
          </w:rPr>
          <w:t>https://doi.org/10.1086/212297</w:t>
        </w:r>
      </w:hyperlink>
      <w:r w:rsidRPr="00B119AF">
        <w:rPr>
          <w:rFonts w:ascii="Garamond" w:hAnsi="Garamond"/>
        </w:rPr>
        <w:t>.</w:t>
      </w:r>
    </w:p>
    <w:p w14:paraId="656C0D1E" w14:textId="77777777" w:rsidR="00C70A7F" w:rsidRPr="00B119AF" w:rsidRDefault="00000000">
      <w:pPr>
        <w:pStyle w:val="Bibliography"/>
        <w:rPr>
          <w:rFonts w:ascii="Garamond" w:hAnsi="Garamond"/>
        </w:rPr>
      </w:pPr>
      <w:bookmarkStart w:id="117" w:name="ref-park_introduction_2019"/>
      <w:bookmarkEnd w:id="116"/>
      <w:r w:rsidRPr="00B119AF">
        <w:rPr>
          <w:rFonts w:ascii="Garamond" w:hAnsi="Garamond"/>
        </w:rPr>
        <w:t xml:space="preserve">Park, Robert Ezra, and E. W. Burgess. 2019. </w:t>
      </w:r>
      <w:r w:rsidRPr="00B119AF">
        <w:rPr>
          <w:rFonts w:ascii="Garamond" w:hAnsi="Garamond"/>
          <w:i/>
          <w:iCs/>
        </w:rPr>
        <w:t>Introduction to the Science of Sociology</w:t>
      </w:r>
      <w:r w:rsidRPr="00B119AF">
        <w:rPr>
          <w:rFonts w:ascii="Garamond" w:hAnsi="Garamond"/>
        </w:rPr>
        <w:t>. Good Press.</w:t>
      </w:r>
    </w:p>
    <w:p w14:paraId="7D401987" w14:textId="77777777" w:rsidR="00C70A7F" w:rsidRPr="00B119AF" w:rsidRDefault="00000000">
      <w:pPr>
        <w:pStyle w:val="Bibliography"/>
        <w:rPr>
          <w:rFonts w:ascii="Garamond" w:hAnsi="Garamond"/>
        </w:rPr>
      </w:pPr>
      <w:bookmarkStart w:id="118" w:name="ref-portes_legacies_2001"/>
      <w:bookmarkEnd w:id="117"/>
      <w:r w:rsidRPr="00B119AF">
        <w:rPr>
          <w:rFonts w:ascii="Garamond" w:hAnsi="Garamond"/>
        </w:rPr>
        <w:t xml:space="preserve">Portes, Alejandro, and Rubén G. Rumbaut. 2001. </w:t>
      </w:r>
      <w:r w:rsidRPr="00B119AF">
        <w:rPr>
          <w:rFonts w:ascii="Garamond" w:hAnsi="Garamond"/>
          <w:i/>
          <w:iCs/>
        </w:rPr>
        <w:t>Legacies: The Story of the Immigrant Second Generation</w:t>
      </w:r>
      <w:r w:rsidRPr="00B119AF">
        <w:rPr>
          <w:rFonts w:ascii="Garamond" w:hAnsi="Garamond"/>
        </w:rPr>
        <w:t xml:space="preserve">. University of California Press. </w:t>
      </w:r>
      <w:hyperlink r:id="rId45">
        <w:r w:rsidR="00C70A7F" w:rsidRPr="00B119AF">
          <w:rPr>
            <w:rStyle w:val="Hyperlink"/>
            <w:rFonts w:ascii="Garamond" w:hAnsi="Garamond"/>
          </w:rPr>
          <w:t>http://hdl.handle.net/2027/heb.31535</w:t>
        </w:r>
      </w:hyperlink>
      <w:r w:rsidRPr="00B119AF">
        <w:rPr>
          <w:rFonts w:ascii="Garamond" w:hAnsi="Garamond"/>
        </w:rPr>
        <w:t>.</w:t>
      </w:r>
    </w:p>
    <w:p w14:paraId="1F2043E2" w14:textId="77777777" w:rsidR="00C70A7F" w:rsidRPr="00B119AF" w:rsidRDefault="00000000">
      <w:pPr>
        <w:pStyle w:val="Bibliography"/>
        <w:rPr>
          <w:rFonts w:ascii="Garamond" w:hAnsi="Garamond"/>
        </w:rPr>
      </w:pPr>
      <w:bookmarkStart w:id="119" w:name="ref-portes_new_1993"/>
      <w:bookmarkEnd w:id="118"/>
      <w:r w:rsidRPr="00B119AF">
        <w:rPr>
          <w:rFonts w:ascii="Garamond" w:hAnsi="Garamond"/>
        </w:rPr>
        <w:t xml:space="preserve">Portes, Alejandro, and Min Zhou. 1993. “The New Second Generation: Segmented Assimilation and Its Variants.” </w:t>
      </w:r>
      <w:r w:rsidRPr="00B119AF">
        <w:rPr>
          <w:rFonts w:ascii="Garamond" w:hAnsi="Garamond"/>
          <w:i/>
          <w:iCs/>
        </w:rPr>
        <w:t>The ANNALS of the American Academy of Political and Social Science</w:t>
      </w:r>
      <w:r w:rsidRPr="00B119AF">
        <w:rPr>
          <w:rFonts w:ascii="Garamond" w:hAnsi="Garamond"/>
        </w:rPr>
        <w:t xml:space="preserve"> 530 (1): 74–96. </w:t>
      </w:r>
      <w:hyperlink r:id="rId46">
        <w:r w:rsidR="00C70A7F" w:rsidRPr="00B119AF">
          <w:rPr>
            <w:rStyle w:val="Hyperlink"/>
            <w:rFonts w:ascii="Garamond" w:hAnsi="Garamond"/>
          </w:rPr>
          <w:t>https://doi.org/10.1177/0002716293530001006</w:t>
        </w:r>
      </w:hyperlink>
      <w:r w:rsidRPr="00B119AF">
        <w:rPr>
          <w:rFonts w:ascii="Garamond" w:hAnsi="Garamond"/>
        </w:rPr>
        <w:t>.</w:t>
      </w:r>
    </w:p>
    <w:p w14:paraId="33D907E6" w14:textId="77777777" w:rsidR="00C70A7F" w:rsidRPr="00B119AF" w:rsidRDefault="00000000">
      <w:pPr>
        <w:pStyle w:val="Bibliography"/>
        <w:rPr>
          <w:rFonts w:ascii="Garamond" w:hAnsi="Garamond"/>
        </w:rPr>
      </w:pPr>
      <w:bookmarkStart w:id="120" w:name="ref-redfield_memorandum_1936"/>
      <w:bookmarkEnd w:id="119"/>
      <w:r w:rsidRPr="00B119AF">
        <w:rPr>
          <w:rFonts w:ascii="Garamond" w:hAnsi="Garamond"/>
        </w:rPr>
        <w:t xml:space="preserve">Redfield, Robert, Ralph Linton, and Melville J. Herskovits. 1936. “Memorandum for the Study of Acculturation.” </w:t>
      </w:r>
      <w:r w:rsidRPr="00B119AF">
        <w:rPr>
          <w:rFonts w:ascii="Garamond" w:hAnsi="Garamond"/>
          <w:i/>
          <w:iCs/>
        </w:rPr>
        <w:t>American Anthropologist</w:t>
      </w:r>
      <w:r w:rsidRPr="00B119AF">
        <w:rPr>
          <w:rFonts w:ascii="Garamond" w:hAnsi="Garamond"/>
        </w:rPr>
        <w:t xml:space="preserve"> 38 (1): 149–52. </w:t>
      </w:r>
      <w:hyperlink r:id="rId47">
        <w:r w:rsidR="00C70A7F" w:rsidRPr="00B119AF">
          <w:rPr>
            <w:rStyle w:val="Hyperlink"/>
            <w:rFonts w:ascii="Garamond" w:hAnsi="Garamond"/>
          </w:rPr>
          <w:t>https://www.jstor.org/stable/662563</w:t>
        </w:r>
      </w:hyperlink>
      <w:r w:rsidRPr="00B119AF">
        <w:rPr>
          <w:rFonts w:ascii="Garamond" w:hAnsi="Garamond"/>
        </w:rPr>
        <w:t>.</w:t>
      </w:r>
    </w:p>
    <w:p w14:paraId="2810D162" w14:textId="77777777" w:rsidR="00C70A7F" w:rsidRPr="00B119AF" w:rsidRDefault="00000000">
      <w:pPr>
        <w:pStyle w:val="Bibliography"/>
        <w:rPr>
          <w:rFonts w:ascii="Garamond" w:hAnsi="Garamond"/>
        </w:rPr>
      </w:pPr>
      <w:bookmarkStart w:id="121" w:name="ref-schwartz_rethinking_2010"/>
      <w:bookmarkEnd w:id="120"/>
      <w:r w:rsidRPr="00B119AF">
        <w:rPr>
          <w:rFonts w:ascii="Garamond" w:hAnsi="Garamond"/>
        </w:rPr>
        <w:t xml:space="preserve">Schwartz, Seth J., Jennifer B. Unger, Byron L. Zamboanga, and José Szapocznik. 2010. “Rethinking the Concept of Acculturation.” </w:t>
      </w:r>
      <w:r w:rsidRPr="00B119AF">
        <w:rPr>
          <w:rFonts w:ascii="Garamond" w:hAnsi="Garamond"/>
          <w:i/>
          <w:iCs/>
        </w:rPr>
        <w:t>The American Psychologist</w:t>
      </w:r>
      <w:r w:rsidRPr="00B119AF">
        <w:rPr>
          <w:rFonts w:ascii="Garamond" w:hAnsi="Garamond"/>
        </w:rPr>
        <w:t xml:space="preserve"> 65 (4): 237–51. </w:t>
      </w:r>
      <w:hyperlink r:id="rId48">
        <w:r w:rsidR="00C70A7F" w:rsidRPr="00B119AF">
          <w:rPr>
            <w:rStyle w:val="Hyperlink"/>
            <w:rFonts w:ascii="Garamond" w:hAnsi="Garamond"/>
          </w:rPr>
          <w:t>https://doi.org/10.1037/a0019330</w:t>
        </w:r>
      </w:hyperlink>
      <w:r w:rsidRPr="00B119AF">
        <w:rPr>
          <w:rFonts w:ascii="Garamond" w:hAnsi="Garamond"/>
        </w:rPr>
        <w:t>.</w:t>
      </w:r>
    </w:p>
    <w:p w14:paraId="283D5360" w14:textId="77777777" w:rsidR="00C70A7F" w:rsidRPr="00B119AF" w:rsidRDefault="00000000">
      <w:pPr>
        <w:pStyle w:val="Bibliography"/>
        <w:rPr>
          <w:rFonts w:ascii="Garamond" w:hAnsi="Garamond"/>
        </w:rPr>
      </w:pPr>
      <w:bookmarkStart w:id="122" w:name="ref-stewart_rock_2019"/>
      <w:bookmarkEnd w:id="121"/>
      <w:r w:rsidRPr="00B119AF">
        <w:rPr>
          <w:rFonts w:ascii="Garamond" w:hAnsi="Garamond"/>
        </w:rPr>
        <w:t xml:space="preserve">Stewart, Ian, René D. Flores, Timothy Riffe, Ingmar Weber, and Emilio Zagheni. 2019. “Rock, Rap, or Reggaeton?: Assessing Mexican Immigrants’ Cultural Assimilation Using Facebook Data,” </w:t>
      </w:r>
      <w:r w:rsidRPr="00B119AF">
        <w:rPr>
          <w:rFonts w:ascii="Garamond" w:hAnsi="Garamond"/>
          <w:i/>
          <w:iCs/>
        </w:rPr>
        <w:t xml:space="preserve">The </w:t>
      </w:r>
      <w:r w:rsidRPr="00B119AF">
        <w:rPr>
          <w:rFonts w:ascii="Garamond" w:hAnsi="Garamond"/>
          <w:i/>
          <w:iCs/>
        </w:rPr>
        <w:lastRenderedPageBreak/>
        <w:t>World Wide Web Conference</w:t>
      </w:r>
      <w:r w:rsidRPr="00B119AF">
        <w:rPr>
          <w:rFonts w:ascii="Garamond" w:hAnsi="Garamond"/>
        </w:rPr>
        <w:t xml:space="preserve"> (New York, NY, USA), WWW ’19, May, 3258–64. </w:t>
      </w:r>
      <w:hyperlink r:id="rId49">
        <w:r w:rsidR="00C70A7F" w:rsidRPr="00B119AF">
          <w:rPr>
            <w:rStyle w:val="Hyperlink"/>
            <w:rFonts w:ascii="Garamond" w:hAnsi="Garamond"/>
          </w:rPr>
          <w:t>https://doi.org/10.1145/3308558.3313409</w:t>
        </w:r>
      </w:hyperlink>
      <w:r w:rsidRPr="00B119AF">
        <w:rPr>
          <w:rFonts w:ascii="Garamond" w:hAnsi="Garamond"/>
        </w:rPr>
        <w:t>.</w:t>
      </w:r>
    </w:p>
    <w:p w14:paraId="53B45B3F" w14:textId="77777777" w:rsidR="00C70A7F" w:rsidRPr="00B119AF" w:rsidRDefault="00000000">
      <w:pPr>
        <w:pStyle w:val="Bibliography"/>
        <w:rPr>
          <w:rFonts w:ascii="Garamond" w:hAnsi="Garamond"/>
        </w:rPr>
      </w:pPr>
      <w:bookmarkStart w:id="123" w:name="ref-warner_social_1945"/>
      <w:bookmarkEnd w:id="122"/>
      <w:r w:rsidRPr="00B119AF">
        <w:rPr>
          <w:rFonts w:ascii="Garamond" w:hAnsi="Garamond"/>
        </w:rPr>
        <w:t xml:space="preserve">Warner, W. L., and L. Srole. 1945. </w:t>
      </w:r>
      <w:r w:rsidRPr="00B119AF">
        <w:rPr>
          <w:rFonts w:ascii="Garamond" w:hAnsi="Garamond"/>
          <w:i/>
          <w:iCs/>
        </w:rPr>
        <w:t>The Social Systems of American Ethnic Groups</w:t>
      </w:r>
      <w:r w:rsidRPr="00B119AF">
        <w:rPr>
          <w:rFonts w:ascii="Garamond" w:hAnsi="Garamond"/>
        </w:rPr>
        <w:t>. The Social Systems of American Ethnic Groups. Yale University Press.</w:t>
      </w:r>
    </w:p>
    <w:p w14:paraId="491D63C4" w14:textId="77777777" w:rsidR="00C70A7F" w:rsidRPr="00B119AF" w:rsidRDefault="00000000">
      <w:pPr>
        <w:pStyle w:val="Bibliography"/>
        <w:rPr>
          <w:rFonts w:ascii="Garamond" w:hAnsi="Garamond"/>
        </w:rPr>
      </w:pPr>
      <w:bookmarkStart w:id="124" w:name="ref-waters_ethnic_1990"/>
      <w:bookmarkEnd w:id="123"/>
      <w:r w:rsidRPr="00B119AF">
        <w:rPr>
          <w:rFonts w:ascii="Garamond" w:hAnsi="Garamond"/>
        </w:rPr>
        <w:t xml:space="preserve">Waters, Mary C. 1990. </w:t>
      </w:r>
      <w:r w:rsidRPr="00B119AF">
        <w:rPr>
          <w:rFonts w:ascii="Garamond" w:hAnsi="Garamond"/>
          <w:i/>
          <w:iCs/>
        </w:rPr>
        <w:t>Ethnic Options: Choosing Identities in America</w:t>
      </w:r>
      <w:r w:rsidRPr="00B119AF">
        <w:rPr>
          <w:rFonts w:ascii="Garamond" w:hAnsi="Garamond"/>
        </w:rPr>
        <w:t xml:space="preserve">. University of California Press. </w:t>
      </w:r>
      <w:hyperlink r:id="rId50">
        <w:r w:rsidR="00C70A7F" w:rsidRPr="00B119AF">
          <w:rPr>
            <w:rStyle w:val="Hyperlink"/>
            <w:rFonts w:ascii="Garamond" w:hAnsi="Garamond"/>
          </w:rPr>
          <w:t>https://doi.org/10.1525/9780520354616</w:t>
        </w:r>
      </w:hyperlink>
      <w:r w:rsidRPr="00B119AF">
        <w:rPr>
          <w:rFonts w:ascii="Garamond" w:hAnsi="Garamond"/>
        </w:rPr>
        <w:t>.</w:t>
      </w:r>
    </w:p>
    <w:p w14:paraId="078934EB" w14:textId="77777777" w:rsidR="00C70A7F" w:rsidRPr="00B119AF" w:rsidRDefault="00000000">
      <w:pPr>
        <w:pStyle w:val="Bibliography"/>
        <w:rPr>
          <w:rFonts w:ascii="Garamond" w:hAnsi="Garamond"/>
        </w:rPr>
      </w:pPr>
      <w:bookmarkStart w:id="125" w:name="ref-zolberg_why_1999"/>
      <w:bookmarkEnd w:id="124"/>
      <w:r w:rsidRPr="00B119AF">
        <w:rPr>
          <w:rFonts w:ascii="Garamond" w:hAnsi="Garamond"/>
        </w:rPr>
        <w:t xml:space="preserve">Zolberg, Aristide R., and Long Litt Woon. 1999. “Why Islam Is Like Spanish: Cultural Incorporation in Europe and the United States.” </w:t>
      </w:r>
      <w:r w:rsidRPr="00B119AF">
        <w:rPr>
          <w:rFonts w:ascii="Garamond" w:hAnsi="Garamond"/>
          <w:i/>
          <w:iCs/>
        </w:rPr>
        <w:t>Politics &amp; Society</w:t>
      </w:r>
      <w:r w:rsidRPr="00B119AF">
        <w:rPr>
          <w:rFonts w:ascii="Garamond" w:hAnsi="Garamond"/>
        </w:rPr>
        <w:t xml:space="preserve"> 27 (1): 5–38. </w:t>
      </w:r>
      <w:hyperlink r:id="rId51">
        <w:r w:rsidR="00C70A7F" w:rsidRPr="00B119AF">
          <w:rPr>
            <w:rStyle w:val="Hyperlink"/>
            <w:rFonts w:ascii="Garamond" w:hAnsi="Garamond"/>
          </w:rPr>
          <w:t>https://doi.org/10.1177/0032329299027001002</w:t>
        </w:r>
      </w:hyperlink>
      <w:r w:rsidRPr="00B119AF">
        <w:rPr>
          <w:rFonts w:ascii="Garamond" w:hAnsi="Garamond"/>
        </w:rPr>
        <w:t>.</w:t>
      </w:r>
      <w:bookmarkEnd w:id="88"/>
      <w:bookmarkEnd w:id="125"/>
    </w:p>
    <w:sectPr w:rsidR="00C70A7F" w:rsidRPr="00B119AF">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415513" w14:textId="77777777" w:rsidR="00DF0A1F" w:rsidRDefault="00DF0A1F">
      <w:pPr>
        <w:spacing w:after="0"/>
      </w:pPr>
      <w:r>
        <w:separator/>
      </w:r>
    </w:p>
  </w:endnote>
  <w:endnote w:type="continuationSeparator" w:id="0">
    <w:p w14:paraId="457AB8FE" w14:textId="77777777" w:rsidR="00DF0A1F" w:rsidRDefault="00DF0A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EB Garamond">
    <w:panose1 w:val="00000500000000000000"/>
    <w:charset w:val="00"/>
    <w:family w:val="auto"/>
    <w:pitch w:val="variable"/>
    <w:sig w:usb0="E00002FF" w:usb1="5201E4F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171710" w14:textId="77777777" w:rsidR="00DF0A1F" w:rsidRDefault="00DF0A1F">
      <w:pPr>
        <w:spacing w:after="0"/>
      </w:pPr>
      <w:r>
        <w:separator/>
      </w:r>
    </w:p>
  </w:footnote>
  <w:footnote w:type="continuationSeparator" w:id="0">
    <w:p w14:paraId="5BB4D5E8" w14:textId="77777777" w:rsidR="00DF0A1F" w:rsidRDefault="00DF0A1F">
      <w:pPr>
        <w:spacing w:after="0"/>
      </w:pPr>
      <w:r>
        <w:continuationSeparator/>
      </w:r>
    </w:p>
  </w:footnote>
  <w:footnote w:id="1">
    <w:p w14:paraId="43348E74" w14:textId="77777777" w:rsidR="00C70A7F" w:rsidRPr="00B119AF" w:rsidRDefault="00000000">
      <w:pPr>
        <w:pStyle w:val="FootnoteText"/>
        <w:rPr>
          <w:rFonts w:ascii="Garamond" w:hAnsi="Garamond"/>
          <w:sz w:val="18"/>
          <w:szCs w:val="18"/>
        </w:rPr>
      </w:pPr>
      <w:r w:rsidRPr="00B119AF">
        <w:rPr>
          <w:rStyle w:val="FootnoteReference"/>
          <w:rFonts w:ascii="Garamond" w:hAnsi="Garamond"/>
          <w:sz w:val="18"/>
          <w:szCs w:val="18"/>
        </w:rPr>
        <w:footnoteRef/>
      </w:r>
      <w:r w:rsidRPr="00B119AF">
        <w:rPr>
          <w:rFonts w:ascii="Garamond" w:hAnsi="Garamond"/>
          <w:sz w:val="18"/>
          <w:szCs w:val="18"/>
        </w:rPr>
        <w:t xml:space="preserve">  In an ideal world, my lectures would all be short and to-the-point, but these things are difficult to predict.</w:t>
      </w:r>
    </w:p>
  </w:footnote>
  <w:footnote w:id="2">
    <w:p w14:paraId="5249CFA8" w14:textId="77777777" w:rsidR="00C70A7F" w:rsidRPr="00B119AF" w:rsidRDefault="00000000">
      <w:pPr>
        <w:pStyle w:val="FootnoteText"/>
        <w:rPr>
          <w:rFonts w:ascii="Garamond" w:hAnsi="Garamond"/>
          <w:sz w:val="18"/>
          <w:szCs w:val="18"/>
        </w:rPr>
      </w:pPr>
      <w:r w:rsidRPr="00B119AF">
        <w:rPr>
          <w:rStyle w:val="FootnoteReference"/>
          <w:rFonts w:ascii="Garamond" w:hAnsi="Garamond"/>
          <w:sz w:val="18"/>
          <w:szCs w:val="18"/>
        </w:rPr>
        <w:footnoteRef/>
      </w:r>
      <w:r w:rsidRPr="00B119AF">
        <w:rPr>
          <w:rFonts w:ascii="Garamond" w:hAnsi="Garamond"/>
          <w:sz w:val="18"/>
          <w:szCs w:val="18"/>
        </w:rPr>
        <w:t xml:space="preserve"> I happen to generally agree with what Andrew Heiss writes </w:t>
      </w:r>
      <w:hyperlink r:id="rId1">
        <w:r w:rsidR="00C70A7F" w:rsidRPr="00B119AF">
          <w:rPr>
            <w:rStyle w:val="Hyperlink"/>
            <w:rFonts w:ascii="Garamond" w:hAnsi="Garamond"/>
            <w:sz w:val="18"/>
            <w:szCs w:val="18"/>
          </w:rPr>
          <w:t>here</w:t>
        </w:r>
      </w:hyperlink>
      <w:r w:rsidRPr="00B119AF">
        <w:rPr>
          <w:rFonts w:ascii="Garamond" w:hAnsi="Garamond"/>
          <w:sz w:val="18"/>
          <w:szCs w:val="18"/>
        </w:rPr>
        <w:t xml:space="preserve">, but lean more agnostic—large language models have been deployed in </w:t>
      </w:r>
      <w:r w:rsidRPr="00B119AF">
        <w:rPr>
          <w:rFonts w:ascii="Garamond" w:hAnsi="Garamond"/>
          <w:i/>
          <w:iCs/>
          <w:sz w:val="18"/>
          <w:szCs w:val="18"/>
        </w:rPr>
        <w:t>some</w:t>
      </w:r>
      <w:r w:rsidRPr="00B119AF">
        <w:rPr>
          <w:rFonts w:ascii="Garamond" w:hAnsi="Garamond"/>
          <w:sz w:val="18"/>
          <w:szCs w:val="18"/>
        </w:rPr>
        <w:t xml:space="preserve"> of my ongoing research projects.</w:t>
      </w:r>
    </w:p>
  </w:footnote>
  <w:footnote w:id="3">
    <w:p w14:paraId="74B03FDD" w14:textId="77777777" w:rsidR="00C70A7F" w:rsidRPr="00B119AF" w:rsidRDefault="00000000">
      <w:pPr>
        <w:pStyle w:val="FootnoteText"/>
        <w:rPr>
          <w:rFonts w:ascii="Garamond" w:hAnsi="Garamond"/>
          <w:sz w:val="18"/>
          <w:szCs w:val="18"/>
        </w:rPr>
      </w:pPr>
      <w:r w:rsidRPr="00B119AF">
        <w:rPr>
          <w:rStyle w:val="FootnoteReference"/>
          <w:rFonts w:ascii="Garamond" w:hAnsi="Garamond"/>
          <w:sz w:val="18"/>
          <w:szCs w:val="18"/>
        </w:rPr>
        <w:footnoteRef/>
      </w:r>
      <w:r w:rsidRPr="00B119AF">
        <w:rPr>
          <w:rFonts w:ascii="Garamond" w:hAnsi="Garamond"/>
          <w:sz w:val="18"/>
          <w:szCs w:val="18"/>
        </w:rPr>
        <w:t xml:space="preserve"> Concretely, Friday at 5:00 PM to Monday at 8:00 AM.</w:t>
      </w:r>
    </w:p>
  </w:footnote>
  <w:footnote w:id="4">
    <w:p w14:paraId="288EE757" w14:textId="77777777" w:rsidR="00C70A7F" w:rsidRPr="00B119AF" w:rsidRDefault="00000000">
      <w:pPr>
        <w:pStyle w:val="FootnoteText"/>
        <w:rPr>
          <w:rFonts w:ascii="Garamond" w:hAnsi="Garamond"/>
          <w:sz w:val="18"/>
          <w:szCs w:val="18"/>
        </w:rPr>
      </w:pPr>
      <w:r w:rsidRPr="00B119AF">
        <w:rPr>
          <w:rStyle w:val="FootnoteReference"/>
          <w:rFonts w:ascii="Garamond" w:hAnsi="Garamond"/>
          <w:sz w:val="18"/>
          <w:szCs w:val="18"/>
        </w:rPr>
        <w:footnoteRef/>
      </w:r>
      <w:r w:rsidRPr="00B119AF">
        <w:rPr>
          <w:rFonts w:ascii="Garamond" w:hAnsi="Garamond"/>
          <w:sz w:val="18"/>
          <w:szCs w:val="18"/>
        </w:rPr>
        <w:t xml:space="preserve"> If an assignment is due at 8:00 PM and you submit it at 8:01 PM, you will be considered a day late and lose 5%.</w:t>
      </w:r>
    </w:p>
  </w:footnote>
  <w:footnote w:id="5">
    <w:p w14:paraId="0D4DB738" w14:textId="77777777" w:rsidR="00C70A7F" w:rsidRPr="00B119AF" w:rsidRDefault="00000000">
      <w:pPr>
        <w:pStyle w:val="FootnoteText"/>
        <w:rPr>
          <w:rFonts w:ascii="Garamond" w:hAnsi="Garamond"/>
          <w:sz w:val="18"/>
          <w:szCs w:val="18"/>
        </w:rPr>
      </w:pPr>
      <w:r w:rsidRPr="00B119AF">
        <w:rPr>
          <w:rStyle w:val="FootnoteReference"/>
          <w:rFonts w:ascii="Garamond" w:hAnsi="Garamond"/>
          <w:sz w:val="18"/>
          <w:szCs w:val="18"/>
        </w:rPr>
        <w:footnoteRef/>
      </w:r>
      <w:r w:rsidRPr="00B119AF">
        <w:rPr>
          <w:rFonts w:ascii="Garamond" w:hAnsi="Garamond"/>
          <w:sz w:val="18"/>
          <w:szCs w:val="18"/>
        </w:rPr>
        <w:t xml:space="preserve"> </w:t>
      </w:r>
      <w:proofErr w:type="gramStart"/>
      <w:r w:rsidRPr="00B119AF">
        <w:rPr>
          <w:rFonts w:ascii="Garamond" w:hAnsi="Garamond"/>
          <w:sz w:val="18"/>
          <w:szCs w:val="18"/>
        </w:rPr>
        <w:t>Generally</w:t>
      </w:r>
      <w:proofErr w:type="gramEnd"/>
      <w:r w:rsidRPr="00B119AF">
        <w:rPr>
          <w:rFonts w:ascii="Garamond" w:hAnsi="Garamond"/>
          <w:sz w:val="18"/>
          <w:szCs w:val="18"/>
        </w:rPr>
        <w:t xml:space="preserve"> via Zoom.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CFBE3A8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656A27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2A327C0F"/>
    <w:multiLevelType w:val="hybridMultilevel"/>
    <w:tmpl w:val="D592D486"/>
    <w:lvl w:ilvl="0" w:tplc="436A91E8">
      <w:numFmt w:val="bullet"/>
      <w:lvlText w:val="-"/>
      <w:lvlJc w:val="left"/>
      <w:pPr>
        <w:ind w:left="720" w:hanging="36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9642787">
    <w:abstractNumId w:val="0"/>
  </w:num>
  <w:num w:numId="2" w16cid:durableId="538131312">
    <w:abstractNumId w:val="1"/>
  </w:num>
  <w:num w:numId="3" w16cid:durableId="758521843">
    <w:abstractNumId w:val="1"/>
  </w:num>
  <w:num w:numId="4" w16cid:durableId="568656004">
    <w:abstractNumId w:val="1"/>
  </w:num>
  <w:num w:numId="5" w16cid:durableId="508757520">
    <w:abstractNumId w:val="1"/>
  </w:num>
  <w:num w:numId="6" w16cid:durableId="86970372">
    <w:abstractNumId w:val="1"/>
  </w:num>
  <w:num w:numId="7" w16cid:durableId="37290659">
    <w:abstractNumId w:val="1"/>
  </w:num>
  <w:num w:numId="8" w16cid:durableId="294994531">
    <w:abstractNumId w:val="1"/>
  </w:num>
  <w:num w:numId="9" w16cid:durableId="1662612195">
    <w:abstractNumId w:val="1"/>
  </w:num>
  <w:num w:numId="10" w16cid:durableId="2099130698">
    <w:abstractNumId w:val="1"/>
  </w:num>
  <w:num w:numId="11" w16cid:durableId="794369010">
    <w:abstractNumId w:val="1"/>
  </w:num>
  <w:num w:numId="12" w16cid:durableId="489368337">
    <w:abstractNumId w:val="1"/>
  </w:num>
  <w:num w:numId="13" w16cid:durableId="631012127">
    <w:abstractNumId w:val="1"/>
  </w:num>
  <w:num w:numId="14" w16cid:durableId="714894557">
    <w:abstractNumId w:val="1"/>
  </w:num>
  <w:num w:numId="15" w16cid:durableId="208958884">
    <w:abstractNumId w:val="1"/>
  </w:num>
  <w:num w:numId="16" w16cid:durableId="1154300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70A7F"/>
    <w:rsid w:val="00124C2F"/>
    <w:rsid w:val="00155A58"/>
    <w:rsid w:val="00230128"/>
    <w:rsid w:val="00303616"/>
    <w:rsid w:val="0047592F"/>
    <w:rsid w:val="004861EF"/>
    <w:rsid w:val="005E6EA1"/>
    <w:rsid w:val="005F334A"/>
    <w:rsid w:val="007166C5"/>
    <w:rsid w:val="007425EA"/>
    <w:rsid w:val="007A4E85"/>
    <w:rsid w:val="00902E8C"/>
    <w:rsid w:val="00A10C8B"/>
    <w:rsid w:val="00A42CC1"/>
    <w:rsid w:val="00AA40D3"/>
    <w:rsid w:val="00B119AF"/>
    <w:rsid w:val="00B2287D"/>
    <w:rsid w:val="00B51AD5"/>
    <w:rsid w:val="00B64898"/>
    <w:rsid w:val="00C31276"/>
    <w:rsid w:val="00C60625"/>
    <w:rsid w:val="00C67F66"/>
    <w:rsid w:val="00C70A7F"/>
    <w:rsid w:val="00DF0A1F"/>
    <w:rsid w:val="00E53C95"/>
    <w:rsid w:val="00F968C8"/>
    <w:rsid w:val="00FA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67CB52"/>
  <w15:docId w15:val="{71476EC9-F627-0446-93F7-B4B6B961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character" w:styleId="UnresolvedMention">
    <w:name w:val="Unresolved Mention"/>
    <w:basedOn w:val="DefaultParagraphFont"/>
    <w:uiPriority w:val="99"/>
    <w:semiHidden/>
    <w:unhideWhenUsed/>
    <w:rsid w:val="00B119AF"/>
    <w:rPr>
      <w:color w:val="605E5C"/>
      <w:shd w:val="clear" w:color="auto" w:fill="E1DFDD"/>
    </w:rPr>
  </w:style>
  <w:style w:type="paragraph" w:styleId="TOC2">
    <w:name w:val="toc 2"/>
    <w:basedOn w:val="Normal"/>
    <w:next w:val="Normal"/>
    <w:autoRedefine/>
    <w:uiPriority w:val="39"/>
    <w:rsid w:val="00B119AF"/>
    <w:pPr>
      <w:spacing w:after="100"/>
      <w:ind w:left="240"/>
    </w:pPr>
  </w:style>
  <w:style w:type="paragraph" w:styleId="TOC3">
    <w:name w:val="toc 3"/>
    <w:basedOn w:val="Normal"/>
    <w:next w:val="Normal"/>
    <w:autoRedefine/>
    <w:uiPriority w:val="39"/>
    <w:rsid w:val="00B119AF"/>
    <w:pPr>
      <w:spacing w:after="100"/>
      <w:ind w:left="480"/>
    </w:pPr>
  </w:style>
  <w:style w:type="paragraph" w:styleId="TOC1">
    <w:name w:val="toc 1"/>
    <w:basedOn w:val="Normal"/>
    <w:next w:val="Normal"/>
    <w:autoRedefine/>
    <w:uiPriority w:val="39"/>
    <w:rsid w:val="00B119AF"/>
    <w:pPr>
      <w:spacing w:after="100"/>
    </w:pPr>
  </w:style>
  <w:style w:type="table" w:styleId="TableGrid">
    <w:name w:val="Table Grid"/>
    <w:basedOn w:val="TableNormal"/>
    <w:rsid w:val="00B119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A40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amherst.edu/offices/student-affairs/accessibility-services/students/applying-for-an-accommodation" TargetMode="External"/><Relationship Id="rId26" Type="http://schemas.openxmlformats.org/officeDocument/2006/relationships/hyperlink" Target="https://doi.org/10.1080/01419870.2026.2667901" TargetMode="External"/><Relationship Id="rId39" Type="http://schemas.openxmlformats.org/officeDocument/2006/relationships/hyperlink" Target="http://www.jstor.org.amherst.idm.oclc.org/stable/10.7758/9781610448505" TargetMode="External"/><Relationship Id="rId21" Type="http://schemas.openxmlformats.org/officeDocument/2006/relationships/hyperlink" Target="https://doi.org/10.1080/0141987042000280003" TargetMode="External"/><Relationship Id="rId34" Type="http://schemas.openxmlformats.org/officeDocument/2006/relationships/hyperlink" Target="https://doi.org/10.2307/2570428" TargetMode="External"/><Relationship Id="rId42" Type="http://schemas.openxmlformats.org/officeDocument/2006/relationships/hyperlink" Target="https://doi.org/10.1086/739568" TargetMode="External"/><Relationship Id="rId47" Type="http://schemas.openxmlformats.org/officeDocument/2006/relationships/hyperlink" Target="https://www.jstor.org/stable/662563" TargetMode="External"/><Relationship Id="rId50" Type="http://schemas.openxmlformats.org/officeDocument/2006/relationships/hyperlink" Target="https://doi.org/10.1525/9780520354616" TargetMode="External"/><Relationship Id="rId7" Type="http://schemas.openxmlformats.org/officeDocument/2006/relationships/hyperlink" Target="https://calendar.app.google/GNkTHEegdZtjsDLj9"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https://doi.org/10.1525/9780520969131" TargetMode="External"/><Relationship Id="rId11" Type="http://schemas.openxmlformats.org/officeDocument/2006/relationships/hyperlink" Target="https://www.amherst.edu/offices/student-affairs/community-standards/college-standards/honor-code" TargetMode="External"/><Relationship Id="rId24" Type="http://schemas.openxmlformats.org/officeDocument/2006/relationships/hyperlink" Target="https://doi.org/10.2307/j.ctt128780b.6" TargetMode="External"/><Relationship Id="rId32" Type="http://schemas.openxmlformats.org/officeDocument/2006/relationships/hyperlink" Target="https://mikecowburn.com/wp-content/uploads/Gomez-DUrso-Cowburn-Hispanic-Support-for-Donald-Trump.pdf" TargetMode="External"/><Relationship Id="rId37" Type="http://schemas.openxmlformats.org/officeDocument/2006/relationships/hyperlink" Target="https://doi.org/10.1146/annurev-soc-081715-074310" TargetMode="External"/><Relationship Id="rId40" Type="http://schemas.openxmlformats.org/officeDocument/2006/relationships/hyperlink" Target="https://doi.org/10.1093/sf/soab011" TargetMode="External"/><Relationship Id="rId45" Type="http://schemas.openxmlformats.org/officeDocument/2006/relationships/hyperlink" Target="http://hdl.handle.net/2027/heb.31535"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1.png"/><Relationship Id="rId19" Type="http://schemas.openxmlformats.org/officeDocument/2006/relationships/hyperlink" Target="https://moodle.amherst.edu/mod/lti/view.php?id=1019014" TargetMode="External"/><Relationship Id="rId31" Type="http://schemas.openxmlformats.org/officeDocument/2006/relationships/hyperlink" Target="https://doi.org/10.1080/01419870.1979.9993248" TargetMode="External"/><Relationship Id="rId44" Type="http://schemas.openxmlformats.org/officeDocument/2006/relationships/hyperlink" Target="https://doi.org/10.1086/212297"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odle.amherst.edu/mod/forum/view.php?id=1038403" TargetMode="External"/><Relationship Id="rId14" Type="http://schemas.openxmlformats.org/officeDocument/2006/relationships/hyperlink" Target="https://calendar.app.google/KAncaT8Kf32t3LjKA" TargetMode="External"/><Relationship Id="rId22" Type="http://schemas.openxmlformats.org/officeDocument/2006/relationships/hyperlink" Target="https://www.jstor.org/stable/1044247" TargetMode="External"/><Relationship Id="rId27" Type="http://schemas.openxmlformats.org/officeDocument/2006/relationships/hyperlink" Target="https://doi.org/10.1080/01419870.2021.1986225" TargetMode="External"/><Relationship Id="rId30" Type="http://schemas.openxmlformats.org/officeDocument/2006/relationships/hyperlink" Target="https://doi.org/10.1177/01979183241274747" TargetMode="External"/><Relationship Id="rId35" Type="http://schemas.openxmlformats.org/officeDocument/2006/relationships/hyperlink" Target="https://www.sakeefkarim.com/research/papers/pdf/skarim_majority_ties.pdf" TargetMode="External"/><Relationship Id="rId43" Type="http://schemas.openxmlformats.org/officeDocument/2006/relationships/hyperlink" Target="https://doi.org/10.4135/9781452274645" TargetMode="External"/><Relationship Id="rId48" Type="http://schemas.openxmlformats.org/officeDocument/2006/relationships/hyperlink" Target="https://doi.org/10.1037/a0019330" TargetMode="External"/><Relationship Id="rId8" Type="http://schemas.openxmlformats.org/officeDocument/2006/relationships/hyperlink" Target="https://moodle.amherst.edu/mod/lti/view.php?id=1019014" TargetMode="External"/><Relationship Id="rId51" Type="http://schemas.openxmlformats.org/officeDocument/2006/relationships/hyperlink" Target="https://doi.org/10.1177/0032329299027001002" TargetMode="External"/><Relationship Id="rId3" Type="http://schemas.openxmlformats.org/officeDocument/2006/relationships/settings" Target="settings.xml"/><Relationship Id="rId12" Type="http://schemas.openxmlformats.org/officeDocument/2006/relationships/hyperlink" Target="https://www.amherst.edu/offices/it/academic-technology-services/tlt/amherst-ai/genai-tools" TargetMode="External"/><Relationship Id="rId17" Type="http://schemas.openxmlformats.org/officeDocument/2006/relationships/hyperlink" Target="https://calendar.app.google/cWWgWg6hYdGAfhEA7" TargetMode="External"/><Relationship Id="rId25" Type="http://schemas.openxmlformats.org/officeDocument/2006/relationships/hyperlink" Target="https://doi.org/10.1111/ajps.70013" TargetMode="External"/><Relationship Id="rId33" Type="http://schemas.openxmlformats.org/officeDocument/2006/relationships/hyperlink" Target="https://doi.org/10.1146/annurev-soc-121919-054728" TargetMode="External"/><Relationship Id="rId38" Type="http://schemas.openxmlformats.org/officeDocument/2006/relationships/hyperlink" Target="https://doi.org/10.1080/1369183X.2023.2183965" TargetMode="External"/><Relationship Id="rId46" Type="http://schemas.openxmlformats.org/officeDocument/2006/relationships/hyperlink" Target="https://doi.org/10.1177/0002716293530001006" TargetMode="External"/><Relationship Id="rId20" Type="http://schemas.openxmlformats.org/officeDocument/2006/relationships/hyperlink" Target="https://doi.org/10.1177/0003122420905127" TargetMode="External"/><Relationship Id="rId41" Type="http://schemas.openxmlformats.org/officeDocument/2006/relationships/hyperlink" Target="http://ebookcentral.proquest.com/lib/mcgill/detail.action?docID=121089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alendar.app.google/cWWgWg6hYdGAfhEA7" TargetMode="External"/><Relationship Id="rId23" Type="http://schemas.openxmlformats.org/officeDocument/2006/relationships/hyperlink" Target="https://doi.org/10.1073/pnas.2118678119" TargetMode="External"/><Relationship Id="rId28" Type="http://schemas.openxmlformats.org/officeDocument/2006/relationships/hyperlink" Target="https://doi.org/10.1080/01419870120049770" TargetMode="External"/><Relationship Id="rId36" Type="http://schemas.openxmlformats.org/officeDocument/2006/relationships/hyperlink" Target="http://www.jstor.org/stable/j.ctt1q8jhwd.9" TargetMode="External"/><Relationship Id="rId49" Type="http://schemas.openxmlformats.org/officeDocument/2006/relationships/hyperlink" Target="https://doi.org/10.1145/3308558.331340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ndrewheiss.com/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4074</Words>
  <Characters>23226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Soci–231   ASSIMILATION, IMMIGRATION, AND CULTURAL CHANGE</vt:lpstr>
    </vt:vector>
  </TitlesOfParts>
  <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Soci–231   ASSIMILATION, IMMIGRATION, AND CULTURAL CHANGE</dc:title>
  <dc:creator>Sakeef M. Karim—  </dc:creator>
  <cp:keywords/>
  <cp:lastModifiedBy>Sakeef M. Karim</cp:lastModifiedBy>
  <cp:revision>16</cp:revision>
  <dcterms:created xsi:type="dcterms:W3CDTF">2026-08-25T23:06:00Z</dcterms:created>
  <dcterms:modified xsi:type="dcterms:W3CDTF">2026-08-29T18:29:00Z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iliation-title">
    <vt:lpwstr>  Location</vt:lpwstr>
  </property>
  <property fmtid="{D5CDD505-2E9C-101B-9397-08002B2CF9AE}" pid="3" name="affiliations">
    <vt:lpwstr/>
  </property>
  <property fmtid="{D5CDD505-2E9C-101B-9397-08002B2CF9AE}" pid="4" name="author-title">
    <vt:lpwstr>  Instructor</vt:lpwstr>
  </property>
  <property fmtid="{D5CDD505-2E9C-101B-9397-08002B2CF9AE}" pid="5" name="authors">
    <vt:lpwstr/>
  </property>
  <property fmtid="{D5CDD505-2E9C-101B-9397-08002B2CF9AE}" pid="6" name="biblio-config">
    <vt:lpwstr>True</vt:lpwstr>
  </property>
  <property fmtid="{D5CDD505-2E9C-101B-9397-08002B2CF9AE}" pid="7" name="bibliography">
    <vt:lpwstr>cites.bib</vt:lpwstr>
  </property>
  <property fmtid="{D5CDD505-2E9C-101B-9397-08002B2CF9AE}" pid="8" name="by-affiliation">
    <vt:lpwstr/>
  </property>
  <property fmtid="{D5CDD505-2E9C-101B-9397-08002B2CF9AE}" pid="9" name="by-author">
    <vt:lpwstr/>
  </property>
  <property fmtid="{D5CDD505-2E9C-101B-9397-08002B2CF9AE}" pid="10" name="crossrefs-hover">
    <vt:lpwstr>True</vt:lpwstr>
  </property>
  <property fmtid="{D5CDD505-2E9C-101B-9397-08002B2CF9AE}" pid="11" name="editor">
    <vt:lpwstr>source</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labels">
    <vt:lpwstr/>
  </property>
  <property fmtid="{D5CDD505-2E9C-101B-9397-08002B2CF9AE}" pid="16" name="mainfont">
    <vt:lpwstr>Spectral</vt:lpwstr>
  </property>
  <property fmtid="{D5CDD505-2E9C-101B-9397-08002B2CF9AE}" pid="17" name="office-hours">
    <vt:lpwstr>By Appointment in Morgan Hall—Room 306</vt:lpwstr>
  </property>
  <property fmtid="{D5CDD505-2E9C-101B-9397-08002B2CF9AE}" pid="18" name="office-hours-title">
    <vt:lpwstr>  Office Hours</vt:lpwstr>
  </property>
  <property fmtid="{D5CDD505-2E9C-101B-9397-08002B2CF9AE}" pid="19" name="pagetitle">
    <vt:lpwstr>Syllabus for SOCI–231 at Amherst College</vt:lpwstr>
  </property>
  <property fmtid="{D5CDD505-2E9C-101B-9397-08002B2CF9AE}" pid="20" name="preview-links">
    <vt:lpwstr>True</vt:lpwstr>
  </property>
  <property fmtid="{D5CDD505-2E9C-101B-9397-08002B2CF9AE}" pid="21" name="schedule">
    <vt:lpwstr>Tuesdays and Thursdays—10:05 AM to 11:20 AM</vt:lpwstr>
  </property>
  <property fmtid="{D5CDD505-2E9C-101B-9397-08002B2CF9AE}" pid="22" name="schedule-title">
    <vt:lpwstr>   Date and Time</vt:lpwstr>
  </property>
  <property fmtid="{D5CDD505-2E9C-101B-9397-08002B2CF9AE}" pid="23" name="smooth-scroll">
    <vt:lpwstr>True</vt:lpwstr>
  </property>
  <property fmtid="{D5CDD505-2E9C-101B-9397-08002B2CF9AE}" pid="24" name="theme">
    <vt:lpwstr>custom.scss</vt:lpwstr>
  </property>
  <property fmtid="{D5CDD505-2E9C-101B-9397-08002B2CF9AE}" pid="25" name="toc-location">
    <vt:lpwstr>left</vt:lpwstr>
  </property>
  <property fmtid="{D5CDD505-2E9C-101B-9397-08002B2CF9AE}" pid="26" name="toc-title">
    <vt:lpwstr>Contents</vt:lpwstr>
  </property>
</Properties>
</file>